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5" w:type="dxa"/>
        <w:tblInd w:w="-113" w:type="dxa"/>
        <w:tblLayout w:type="fixed"/>
        <w:tblCellMar>
          <w:left w:w="85" w:type="dxa"/>
          <w:right w:w="85" w:type="dxa"/>
        </w:tblCellMar>
        <w:tblLook w:val="04A0" w:firstRow="1" w:lastRow="0" w:firstColumn="1" w:lastColumn="0" w:noHBand="0" w:noVBand="1"/>
      </w:tblPr>
      <w:tblGrid>
        <w:gridCol w:w="3795"/>
        <w:gridCol w:w="5610"/>
      </w:tblGrid>
      <w:tr w:rsidR="005C5ABF" w:rsidRPr="00EA52B9" w14:paraId="52989742" w14:textId="77777777" w:rsidTr="00123ED2">
        <w:trPr>
          <w:cantSplit/>
          <w:trHeight w:val="851"/>
        </w:trPr>
        <w:tc>
          <w:tcPr>
            <w:tcW w:w="3795" w:type="dxa"/>
          </w:tcPr>
          <w:p w14:paraId="5726F871" w14:textId="77777777" w:rsidR="005C5ABF" w:rsidRPr="00EA52B9" w:rsidRDefault="005C5ABF" w:rsidP="00123ED2">
            <w:pPr>
              <w:pStyle w:val="u5"/>
              <w:adjustRightInd w:val="0"/>
              <w:rPr>
                <w:rFonts w:ascii="Times New Roman" w:hAnsi="Times New Roman" w:cs="Times New Roman"/>
                <w:bCs/>
                <w:sz w:val="26"/>
                <w:szCs w:val="26"/>
                <w:lang w:val="nl-NL"/>
              </w:rPr>
            </w:pPr>
            <w:r w:rsidRPr="00EA52B9">
              <w:rPr>
                <w:rFonts w:ascii="Times New Roman" w:hAnsi="Times New Roman" w:cs="Times New Roman"/>
                <w:bCs/>
                <w:sz w:val="26"/>
                <w:szCs w:val="26"/>
                <w:lang w:val="nl-NL"/>
              </w:rPr>
              <w:t>BỘ KẾ HOẠCH VÀ ĐẦU TƯ</w:t>
            </w:r>
          </w:p>
          <w:p w14:paraId="0D15F460" w14:textId="77777777" w:rsidR="005C5ABF" w:rsidRPr="00EA52B9" w:rsidRDefault="005C5ABF" w:rsidP="00123ED2">
            <w:pPr>
              <w:jc w:val="center"/>
              <w:rPr>
                <w:sz w:val="26"/>
                <w:szCs w:val="26"/>
                <w:lang w:val="nl-NL"/>
              </w:rPr>
            </w:pPr>
            <w:r w:rsidRPr="00EA52B9">
              <w:rPr>
                <w:b/>
                <w:sz w:val="26"/>
                <w:szCs w:val="26"/>
              </w:rPr>
              <w:t>VỤ PHÁP CHẾ</w:t>
            </w:r>
          </w:p>
          <w:p w14:paraId="1E4CBAE1" w14:textId="0725905F" w:rsidR="005C5ABF" w:rsidRPr="00EA52B9" w:rsidRDefault="005C5ABF" w:rsidP="00123ED2">
            <w:pPr>
              <w:pStyle w:val="u5"/>
              <w:adjustRightInd w:val="0"/>
              <w:rPr>
                <w:rFonts w:ascii="Times New Roman" w:hAnsi="Times New Roman" w:cs="Times New Roman"/>
                <w:bCs/>
                <w:sz w:val="26"/>
                <w:szCs w:val="26"/>
                <w:lang w:val="nl-NL"/>
              </w:rPr>
            </w:pPr>
            <w:r w:rsidRPr="00EA52B9">
              <w:rPr>
                <w:noProof/>
              </w:rPr>
              <mc:AlternateContent>
                <mc:Choice Requires="wps">
                  <w:drawing>
                    <wp:anchor distT="4294967294" distB="4294967294" distL="114300" distR="114300" simplePos="0" relativeHeight="251659264" behindDoc="0" locked="0" layoutInCell="1" allowOverlap="1" wp14:anchorId="15F33F7D" wp14:editId="69B2B062">
                      <wp:simplePos x="0" y="0"/>
                      <wp:positionH relativeFrom="column">
                        <wp:posOffset>621030</wp:posOffset>
                      </wp:positionH>
                      <wp:positionV relativeFrom="paragraph">
                        <wp:posOffset>27304</wp:posOffset>
                      </wp:positionV>
                      <wp:extent cx="1066800" cy="0"/>
                      <wp:effectExtent l="0" t="0" r="0" b="0"/>
                      <wp:wrapNone/>
                      <wp:docPr id="1"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5654" id="Đường nối Thẳ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9pt,2.15pt" to="132.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"/>
                  </w:pict>
                </mc:Fallback>
              </mc:AlternateContent>
            </w:r>
          </w:p>
        </w:tc>
        <w:tc>
          <w:tcPr>
            <w:tcW w:w="5610" w:type="dxa"/>
            <w:hideMark/>
          </w:tcPr>
          <w:p w14:paraId="00A9FF77" w14:textId="77777777" w:rsidR="005C5ABF" w:rsidRPr="00EA52B9" w:rsidRDefault="005C5ABF" w:rsidP="00123ED2">
            <w:pPr>
              <w:pStyle w:val="u4"/>
              <w:spacing w:before="0" w:line="240" w:lineRule="auto"/>
              <w:jc w:val="center"/>
              <w:rPr>
                <w:b/>
                <w:i w:val="0"/>
                <w:sz w:val="24"/>
                <w:szCs w:val="26"/>
              </w:rPr>
            </w:pPr>
            <w:r w:rsidRPr="00EA52B9">
              <w:rPr>
                <w:b/>
                <w:i w:val="0"/>
                <w:sz w:val="24"/>
                <w:szCs w:val="26"/>
              </w:rPr>
              <w:t>CỘNG HOÀ XÃ HỘI CHỦ NGHĨA VIỆT NAM</w:t>
            </w:r>
          </w:p>
          <w:p w14:paraId="14BA34C7" w14:textId="77777777" w:rsidR="005C5ABF" w:rsidRPr="00EA52B9" w:rsidRDefault="005C5ABF" w:rsidP="00123ED2">
            <w:pPr>
              <w:pStyle w:val="u4"/>
              <w:spacing w:before="0" w:line="240" w:lineRule="auto"/>
              <w:jc w:val="center"/>
              <w:rPr>
                <w:b/>
                <w:i w:val="0"/>
                <w:sz w:val="26"/>
                <w:szCs w:val="26"/>
              </w:rPr>
            </w:pPr>
            <w:r w:rsidRPr="00EA52B9">
              <w:rPr>
                <w:b/>
                <w:i w:val="0"/>
                <w:sz w:val="26"/>
                <w:szCs w:val="26"/>
              </w:rPr>
              <w:t>Độc lập - Tự do - Hạnh phúc</w:t>
            </w:r>
          </w:p>
          <w:p w14:paraId="468760C7" w14:textId="567EBFDB" w:rsidR="005C5ABF" w:rsidRPr="00EA52B9" w:rsidRDefault="005C5ABF" w:rsidP="00123ED2">
            <w:pPr>
              <w:pStyle w:val="u4"/>
              <w:spacing w:before="0" w:line="240" w:lineRule="auto"/>
              <w:jc w:val="center"/>
              <w:rPr>
                <w:sz w:val="6"/>
                <w:szCs w:val="28"/>
              </w:rPr>
            </w:pPr>
            <w:r w:rsidRPr="00EA52B9">
              <w:rPr>
                <w:noProof/>
              </w:rPr>
              <mc:AlternateContent>
                <mc:Choice Requires="wps">
                  <w:drawing>
                    <wp:anchor distT="4294967294" distB="4294967294" distL="114300" distR="114300" simplePos="0" relativeHeight="251660288" behindDoc="0" locked="0" layoutInCell="1" allowOverlap="1" wp14:anchorId="2FD748BF" wp14:editId="2735D024">
                      <wp:simplePos x="0" y="0"/>
                      <wp:positionH relativeFrom="column">
                        <wp:posOffset>690245</wp:posOffset>
                      </wp:positionH>
                      <wp:positionV relativeFrom="paragraph">
                        <wp:posOffset>22859</wp:posOffset>
                      </wp:positionV>
                      <wp:extent cx="2057400" cy="0"/>
                      <wp:effectExtent l="0" t="0" r="0" b="0"/>
                      <wp:wrapNone/>
                      <wp:docPr id="5"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8E52A" id="Đường nối Thẳng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pt" to="21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"/>
                  </w:pict>
                </mc:Fallback>
              </mc:AlternateContent>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r w:rsidRPr="00EA52B9">
              <w:rPr>
                <w:szCs w:val="28"/>
              </w:rPr>
              <w:softHyphen/>
            </w:r>
          </w:p>
        </w:tc>
      </w:tr>
      <w:tr w:rsidR="005C5ABF" w:rsidRPr="00EA52B9" w14:paraId="2B49D96E" w14:textId="77777777" w:rsidTr="00123ED2">
        <w:trPr>
          <w:cantSplit/>
        </w:trPr>
        <w:tc>
          <w:tcPr>
            <w:tcW w:w="3795" w:type="dxa"/>
          </w:tcPr>
          <w:p w14:paraId="42EFA2C8" w14:textId="77777777" w:rsidR="005C5ABF" w:rsidRPr="00EA52B9" w:rsidRDefault="005C5ABF" w:rsidP="00123ED2">
            <w:pPr>
              <w:pStyle w:val="u5"/>
              <w:adjustRightInd w:val="0"/>
              <w:spacing w:before="120"/>
              <w:rPr>
                <w:rFonts w:ascii="Times New Roman" w:hAnsi="Times New Roman" w:cs="Times New Roman"/>
                <w:bCs/>
                <w:sz w:val="26"/>
                <w:szCs w:val="26"/>
                <w:lang w:val="nl-NL"/>
              </w:rPr>
            </w:pPr>
          </w:p>
        </w:tc>
        <w:tc>
          <w:tcPr>
            <w:tcW w:w="5610" w:type="dxa"/>
            <w:hideMark/>
          </w:tcPr>
          <w:p w14:paraId="7E44AA65" w14:textId="77777777" w:rsidR="005C5ABF" w:rsidRPr="00EA52B9" w:rsidRDefault="005C5ABF" w:rsidP="00123ED2">
            <w:pPr>
              <w:pStyle w:val="u4"/>
              <w:jc w:val="center"/>
              <w:rPr>
                <w:sz w:val="26"/>
                <w:szCs w:val="26"/>
              </w:rPr>
            </w:pPr>
            <w:r w:rsidRPr="00EA52B9">
              <w:rPr>
                <w:sz w:val="26"/>
                <w:szCs w:val="26"/>
              </w:rPr>
              <w:t>Hà Nội, ngày     tháng      năm 202</w:t>
            </w:r>
            <w:r>
              <w:rPr>
                <w:sz w:val="26"/>
                <w:szCs w:val="26"/>
              </w:rPr>
              <w:t>4</w:t>
            </w:r>
          </w:p>
        </w:tc>
      </w:tr>
    </w:tbl>
    <w:p w14:paraId="4B272ACD" w14:textId="77777777" w:rsidR="005C5ABF" w:rsidRPr="00EA52B9" w:rsidRDefault="005C5ABF" w:rsidP="005C5ABF">
      <w:pPr>
        <w:jc w:val="center"/>
        <w:rPr>
          <w:b/>
          <w:sz w:val="32"/>
          <w:szCs w:val="32"/>
          <w:lang w:val="nl-NL"/>
        </w:rPr>
      </w:pPr>
    </w:p>
    <w:p w14:paraId="38A1CC25" w14:textId="77777777" w:rsidR="005C5ABF" w:rsidRPr="00EA52B9" w:rsidRDefault="005C5ABF" w:rsidP="005C5ABF">
      <w:pPr>
        <w:spacing w:before="20" w:after="20"/>
        <w:jc w:val="center"/>
        <w:rPr>
          <w:b/>
          <w:sz w:val="32"/>
          <w:szCs w:val="32"/>
          <w:lang w:val="nl-NL"/>
        </w:rPr>
      </w:pPr>
      <w:r w:rsidRPr="00EA52B9">
        <w:rPr>
          <w:b/>
          <w:sz w:val="32"/>
          <w:szCs w:val="32"/>
          <w:lang w:val="nl-NL"/>
        </w:rPr>
        <w:t>TỜ TRÌNH</w:t>
      </w:r>
    </w:p>
    <w:p w14:paraId="322180D5" w14:textId="77777777" w:rsidR="005C5ABF" w:rsidRPr="00EA52B9" w:rsidRDefault="005C5ABF" w:rsidP="005C5ABF">
      <w:pPr>
        <w:spacing w:before="20" w:after="20"/>
        <w:jc w:val="center"/>
        <w:rPr>
          <w:b/>
          <w:lang w:val="nl-NL"/>
        </w:rPr>
      </w:pPr>
      <w:r w:rsidRPr="00EA52B9">
        <w:rPr>
          <w:b/>
          <w:bCs/>
          <w:noProof/>
          <w:lang w:val="nl-NL"/>
        </w:rPr>
        <w:t xml:space="preserve">Về việc ban hành Thông tư </w:t>
      </w:r>
      <w:r w:rsidRPr="00EA52B9">
        <w:rPr>
          <w:b/>
          <w:lang w:val="nl-NL"/>
        </w:rPr>
        <w:t>quy định một số nội dung về hoạt động giám định tư pháp trong lĩnh vực kế hoạch và đầu tư</w:t>
      </w:r>
    </w:p>
    <w:p w14:paraId="4A58399B" w14:textId="58696D17" w:rsidR="005C5ABF" w:rsidRPr="00EA52B9" w:rsidRDefault="005C5ABF" w:rsidP="005C5ABF">
      <w:pPr>
        <w:pStyle w:val="ThnVnban"/>
        <w:jc w:val="center"/>
        <w:rPr>
          <w:rFonts w:ascii="Times New Roman" w:hAnsi="Times New Roman"/>
          <w:bCs/>
          <w:noProof/>
          <w:lang w:val="nl-NL"/>
        </w:rPr>
      </w:pPr>
      <w:r w:rsidRPr="00EA52B9">
        <w:rPr>
          <w:noProof/>
        </w:rPr>
        <mc:AlternateContent>
          <mc:Choice Requires="wps">
            <w:drawing>
              <wp:anchor distT="4294967294" distB="4294967294" distL="114300" distR="114300" simplePos="0" relativeHeight="251661312" behindDoc="0" locked="0" layoutInCell="1" allowOverlap="1" wp14:anchorId="710E92E9" wp14:editId="47490C4B">
                <wp:simplePos x="0" y="0"/>
                <wp:positionH relativeFrom="column">
                  <wp:posOffset>1805940</wp:posOffset>
                </wp:positionH>
                <wp:positionV relativeFrom="paragraph">
                  <wp:posOffset>8254</wp:posOffset>
                </wp:positionV>
                <wp:extent cx="2057400" cy="0"/>
                <wp:effectExtent l="0" t="0" r="0" b="0"/>
                <wp:wrapNone/>
                <wp:docPr id="6"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75159" id="Đường nối Thẳng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2pt,.65pt" to="30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"/>
            </w:pict>
          </mc:Fallback>
        </mc:AlternateContent>
      </w:r>
    </w:p>
    <w:p w14:paraId="35A6BB10" w14:textId="77777777" w:rsidR="005C5ABF" w:rsidRPr="00EA52B9" w:rsidRDefault="005C5ABF" w:rsidP="005C5ABF">
      <w:pPr>
        <w:ind w:firstLine="561"/>
        <w:jc w:val="both"/>
        <w:rPr>
          <w:sz w:val="8"/>
          <w:lang w:val="it-IT"/>
        </w:rPr>
      </w:pPr>
    </w:p>
    <w:p w14:paraId="586320CA" w14:textId="77777777" w:rsidR="005C5ABF" w:rsidRPr="00EA52B9" w:rsidRDefault="005C5ABF" w:rsidP="005C5ABF">
      <w:pPr>
        <w:spacing w:before="60" w:after="60"/>
        <w:jc w:val="center"/>
        <w:rPr>
          <w:lang w:val="it-IT"/>
        </w:rPr>
      </w:pPr>
      <w:r w:rsidRPr="00EA52B9">
        <w:rPr>
          <w:lang w:val="it-IT"/>
        </w:rPr>
        <w:t>Kính gửi: Bộ trưởng Bộ Kế hoạch và Đầu tư</w:t>
      </w:r>
    </w:p>
    <w:p w14:paraId="6DEDC643" w14:textId="77777777" w:rsidR="005C5ABF" w:rsidRPr="00EA52B9" w:rsidRDefault="005C5ABF" w:rsidP="005C5ABF">
      <w:pPr>
        <w:spacing w:before="120" w:after="120" w:line="360" w:lineRule="atLeast"/>
        <w:ind w:firstLine="567"/>
        <w:rPr>
          <w:lang w:val="it-IT"/>
        </w:rPr>
      </w:pPr>
    </w:p>
    <w:p w14:paraId="55DBF339" w14:textId="77777777" w:rsidR="005C5ABF" w:rsidRPr="00113F9E" w:rsidRDefault="005C5ABF" w:rsidP="005C5ABF">
      <w:pPr>
        <w:spacing w:before="120" w:after="120" w:line="340" w:lineRule="atLeast"/>
        <w:ind w:firstLine="709"/>
        <w:jc w:val="both"/>
        <w:rPr>
          <w:lang w:val="vi-VN"/>
        </w:rPr>
      </w:pPr>
      <w:r w:rsidRPr="00113F9E">
        <w:rPr>
          <w:lang w:val="vi-VN"/>
        </w:rPr>
        <w:t>Thực hiện quy định c</w:t>
      </w:r>
      <w:r w:rsidRPr="00113F9E">
        <w:rPr>
          <w:lang w:val="it-IT"/>
        </w:rPr>
        <w:t xml:space="preserve">ủa </w:t>
      </w:r>
      <w:r w:rsidRPr="00113F9E">
        <w:rPr>
          <w:lang w:val="vi-VN"/>
        </w:rPr>
        <w:t>Luật Ban hành v</w:t>
      </w:r>
      <w:r w:rsidRPr="00113F9E">
        <w:rPr>
          <w:lang w:val="it-IT"/>
        </w:rPr>
        <w:t>ă</w:t>
      </w:r>
      <w:r w:rsidRPr="00113F9E">
        <w:rPr>
          <w:lang w:val="vi-VN"/>
        </w:rPr>
        <w:t>n b</w:t>
      </w:r>
      <w:r w:rsidRPr="00113F9E">
        <w:rPr>
          <w:lang w:val="it-IT"/>
        </w:rPr>
        <w:t>ả</w:t>
      </w:r>
      <w:r w:rsidRPr="00113F9E">
        <w:rPr>
          <w:lang w:val="vi-VN"/>
        </w:rPr>
        <w:t>n quy phạm pháp lu</w:t>
      </w:r>
      <w:r w:rsidRPr="00113F9E">
        <w:rPr>
          <w:lang w:val="it-IT"/>
        </w:rPr>
        <w:t>ậ</w:t>
      </w:r>
      <w:r w:rsidRPr="00113F9E">
        <w:rPr>
          <w:lang w:val="vi-VN"/>
        </w:rPr>
        <w:t>t</w:t>
      </w:r>
      <w:r w:rsidRPr="00113F9E">
        <w:rPr>
          <w:lang w:val="it-IT"/>
        </w:rPr>
        <w:t>,</w:t>
      </w:r>
      <w:r w:rsidRPr="00113F9E">
        <w:rPr>
          <w:lang w:val="vi-VN"/>
        </w:rPr>
        <w:t xml:space="preserve"> </w:t>
      </w:r>
      <w:r w:rsidRPr="00113F9E">
        <w:rPr>
          <w:lang w:val="it-IT"/>
        </w:rPr>
        <w:t>Vụ Pháp chế</w:t>
      </w:r>
      <w:r w:rsidRPr="00113F9E">
        <w:rPr>
          <w:lang w:val="vi-VN"/>
        </w:rPr>
        <w:t xml:space="preserve"> kính trình </w:t>
      </w:r>
      <w:r w:rsidRPr="00113F9E">
        <w:rPr>
          <w:lang w:val="it-IT"/>
        </w:rPr>
        <w:t>Bộ trưởng</w:t>
      </w:r>
      <w:r w:rsidRPr="00113F9E">
        <w:rPr>
          <w:lang w:val="vi-VN"/>
        </w:rPr>
        <w:t xml:space="preserve"> dự thảo Thông tư quy định một số nội dung về hoạt động giám định tư pháp trong lĩnh vực kế hoạch và đầu tư</w:t>
      </w:r>
      <w:r w:rsidRPr="00113F9E">
        <w:rPr>
          <w:lang w:val="it-IT"/>
        </w:rPr>
        <w:t>,</w:t>
      </w:r>
      <w:r w:rsidRPr="00113F9E">
        <w:rPr>
          <w:lang w:val="vi-VN"/>
        </w:rPr>
        <w:t xml:space="preserve"> như sau:</w:t>
      </w:r>
    </w:p>
    <w:p w14:paraId="720EA759" w14:textId="77777777" w:rsidR="005C5ABF" w:rsidRPr="00113F9E" w:rsidRDefault="005C5ABF" w:rsidP="005C5ABF">
      <w:pPr>
        <w:spacing w:before="120" w:after="120" w:line="340" w:lineRule="atLeast"/>
        <w:ind w:firstLine="709"/>
        <w:rPr>
          <w:lang w:val="vi-VN"/>
        </w:rPr>
      </w:pPr>
      <w:r w:rsidRPr="00113F9E">
        <w:rPr>
          <w:b/>
          <w:bCs/>
          <w:lang w:val="vi-VN"/>
        </w:rPr>
        <w:t>I. SỰ CẦN THIẾT BAN HÀNH VĂN BẢN</w:t>
      </w:r>
    </w:p>
    <w:p w14:paraId="3736F2C6" w14:textId="77777777" w:rsidR="005C5ABF" w:rsidRPr="000B4119" w:rsidRDefault="005C5ABF" w:rsidP="005C5ABF">
      <w:pPr>
        <w:spacing w:before="120" w:after="120" w:line="340" w:lineRule="atLeast"/>
        <w:ind w:firstLine="709"/>
        <w:jc w:val="both"/>
        <w:rPr>
          <w:b/>
          <w:lang w:val="it-IT"/>
        </w:rPr>
      </w:pPr>
      <w:r w:rsidRPr="000B4119">
        <w:rPr>
          <w:b/>
          <w:lang w:val="it-IT"/>
        </w:rPr>
        <w:t>1. Cơ sở chính trị, pháp lý</w:t>
      </w:r>
    </w:p>
    <w:p w14:paraId="520C7011" w14:textId="77777777" w:rsidR="005C5ABF" w:rsidRDefault="005C5ABF" w:rsidP="005C5ABF">
      <w:pPr>
        <w:spacing w:before="120" w:after="120" w:line="276" w:lineRule="auto"/>
        <w:ind w:firstLine="709"/>
        <w:jc w:val="both"/>
        <w:rPr>
          <w:lang w:val="it-IT"/>
        </w:rPr>
      </w:pPr>
      <w:r>
        <w:rPr>
          <w:lang w:val="it-IT"/>
        </w:rPr>
        <w:t xml:space="preserve">- Rà soát, sửa đổi, bổ sung </w:t>
      </w:r>
      <w:r w:rsidRPr="00113F9E">
        <w:rPr>
          <w:lang w:val="vi-VN"/>
        </w:rPr>
        <w:t>Thông tư quy định một số nội dung về hoạt động giám định tư pháp trong lĩnh vực kế hoạch và đầu tư</w:t>
      </w:r>
      <w:r w:rsidRPr="0078011F">
        <w:rPr>
          <w:lang w:val="it-IT"/>
        </w:rPr>
        <w:t xml:space="preserve"> </w:t>
      </w:r>
      <w:r>
        <w:rPr>
          <w:lang w:val="it-IT"/>
        </w:rPr>
        <w:t xml:space="preserve">nhằm thực hiện theo chỉ đạo, định hướng của </w:t>
      </w:r>
      <w:r w:rsidRPr="0078011F">
        <w:rPr>
          <w:lang w:val="it-IT"/>
        </w:rPr>
        <w:t>Ban Chỉ đạo Trung ương về phòng, chống tham nhũng, tiêu cực</w:t>
      </w:r>
      <w:r>
        <w:rPr>
          <w:lang w:val="it-IT"/>
        </w:rPr>
        <w:t xml:space="preserve"> liên quan đến công tác giám định tư pháp</w:t>
      </w:r>
      <w:r>
        <w:rPr>
          <w:rStyle w:val="ThamchiuCcchu"/>
          <w:lang w:val="it-IT"/>
        </w:rPr>
        <w:footnoteReference w:id="1"/>
      </w:r>
      <w:r>
        <w:rPr>
          <w:lang w:val="it-IT"/>
        </w:rPr>
        <w:t>.</w:t>
      </w:r>
    </w:p>
    <w:p w14:paraId="423429B9" w14:textId="77777777" w:rsidR="005C5ABF" w:rsidRDefault="005C5ABF" w:rsidP="005C5ABF">
      <w:pPr>
        <w:spacing w:before="120" w:after="120" w:line="340" w:lineRule="atLeast"/>
        <w:ind w:firstLine="709"/>
        <w:jc w:val="both"/>
        <w:rPr>
          <w:lang w:val="it-IT"/>
        </w:rPr>
      </w:pPr>
      <w:r>
        <w:rPr>
          <w:lang w:val="it-IT"/>
        </w:rPr>
        <w:t>- N</w:t>
      </w:r>
      <w:r w:rsidRPr="005E206B">
        <w:rPr>
          <w:lang w:val="it-IT"/>
        </w:rPr>
        <w:t xml:space="preserve">gày 10/6/2020, Quốc hội đã thông qua Luật sửa đổi, bổ sung một số điều của Luật Giám định tư pháp; trong đó đã sửa đổi, bổ sung nhiều quy định mới so với quy định </w:t>
      </w:r>
      <w:r w:rsidRPr="005E206B">
        <w:rPr>
          <w:lang w:val="pt-BR"/>
        </w:rPr>
        <w:t xml:space="preserve">tại </w:t>
      </w:r>
      <w:r w:rsidRPr="005E206B">
        <w:rPr>
          <w:lang w:val="it-IT"/>
        </w:rPr>
        <w:t>Luật Giám định tư pháp năm 2012</w:t>
      </w:r>
      <w:r>
        <w:rPr>
          <w:lang w:val="it-IT"/>
        </w:rPr>
        <w:t>.</w:t>
      </w:r>
    </w:p>
    <w:p w14:paraId="6631671C" w14:textId="77777777" w:rsidR="005C5ABF" w:rsidRPr="000B4119" w:rsidRDefault="005C5ABF" w:rsidP="005C5ABF">
      <w:pPr>
        <w:spacing w:before="120" w:after="120" w:line="340" w:lineRule="atLeast"/>
        <w:ind w:firstLine="709"/>
        <w:jc w:val="both"/>
        <w:rPr>
          <w:b/>
          <w:lang w:val="it-IT"/>
        </w:rPr>
      </w:pPr>
      <w:r w:rsidRPr="000B4119">
        <w:rPr>
          <w:b/>
          <w:lang w:val="it-IT"/>
        </w:rPr>
        <w:t>2. Cơ sở thực tiễn</w:t>
      </w:r>
    </w:p>
    <w:p w14:paraId="104D9343" w14:textId="77777777" w:rsidR="005C5ABF" w:rsidRPr="00113F9E" w:rsidRDefault="005C5ABF" w:rsidP="005C5ABF">
      <w:pPr>
        <w:spacing w:before="120" w:after="120" w:line="340" w:lineRule="atLeast"/>
        <w:ind w:firstLine="709"/>
        <w:jc w:val="both"/>
        <w:rPr>
          <w:lang w:val="it-IT"/>
        </w:rPr>
      </w:pPr>
      <w:r w:rsidRPr="00113F9E">
        <w:rPr>
          <w:lang w:val="it-IT"/>
        </w:rPr>
        <w:t>Để triển khai thực hiện Luật Giám định tư pháp, Bộ Kế hoạch và Đầu tư đã ban hành 02 Thông tư, đó là: Thông tư số 07/2014/TT-BKHĐT ngày 24/11/2014 hướng dẫn một số nội dung về giám định tư pháp trong lĩnh vực kế hoạch và đầu tư và Thông tư số 12/2015/TT-BKHĐT ngày 27/10/2015 của Bộ Kế hoạch và Đầu tư hướng dẫn về quy chuẩn chuyên môn trong hoạt động giám định tư pháp; thủ tục cử người tham gia giám định tư pháp và thành lập Hội đồng giám định tư pháp trong lĩnh vực kế hoạch và đầu tư. Qua đó, đã góp phần nâng cao chất lượng, hiệu quả và đáp ứng yêu cầu thực tiễn của công tác giám định tư pháp trong lĩnh vực kế hoạch và đầu tư.</w:t>
      </w:r>
    </w:p>
    <w:p w14:paraId="0B172F02" w14:textId="77777777" w:rsidR="005C5ABF" w:rsidRPr="00113F9E" w:rsidRDefault="005C5ABF" w:rsidP="005C5ABF">
      <w:pPr>
        <w:spacing w:before="120" w:after="120" w:line="340" w:lineRule="atLeast"/>
        <w:ind w:firstLine="709"/>
        <w:jc w:val="both"/>
        <w:rPr>
          <w:lang w:val="it-IT"/>
        </w:rPr>
      </w:pPr>
      <w:r w:rsidRPr="00113F9E">
        <w:rPr>
          <w:lang w:val="it-IT"/>
        </w:rPr>
        <w:t xml:space="preserve">Tuy nhiên, qua hơn 07 năm triển khai thực hiện, các quy định của 02 Thông tư nêu trên đã bộc lộ một số vướng mắc nhất định, cụ thể là: </w:t>
      </w:r>
    </w:p>
    <w:p w14:paraId="13732603" w14:textId="77777777" w:rsidR="005C5ABF" w:rsidRPr="00113F9E" w:rsidRDefault="005C5ABF" w:rsidP="005C5ABF">
      <w:pPr>
        <w:numPr>
          <w:ilvl w:val="0"/>
          <w:numId w:val="1"/>
        </w:numPr>
        <w:tabs>
          <w:tab w:val="left" w:pos="1134"/>
        </w:tabs>
        <w:spacing w:before="120" w:after="120" w:line="340" w:lineRule="atLeast"/>
        <w:ind w:left="0" w:firstLine="709"/>
        <w:jc w:val="both"/>
        <w:rPr>
          <w:i/>
          <w:lang w:val="it-IT"/>
        </w:rPr>
      </w:pPr>
      <w:r w:rsidRPr="00113F9E">
        <w:rPr>
          <w:i/>
          <w:lang w:val="it-IT"/>
        </w:rPr>
        <w:lastRenderedPageBreak/>
        <w:t>Chưa rõ về trình tự, thủ tục bổ nhiệm giám định viên tư pháp;</w:t>
      </w:r>
    </w:p>
    <w:p w14:paraId="4386031A" w14:textId="77777777" w:rsidR="005C5ABF" w:rsidRPr="00113F9E" w:rsidRDefault="005C5ABF" w:rsidP="005C5ABF">
      <w:pPr>
        <w:numPr>
          <w:ilvl w:val="0"/>
          <w:numId w:val="1"/>
        </w:numPr>
        <w:tabs>
          <w:tab w:val="left" w:pos="1134"/>
        </w:tabs>
        <w:spacing w:before="120" w:after="120" w:line="340" w:lineRule="atLeast"/>
        <w:ind w:left="0" w:firstLine="709"/>
        <w:jc w:val="both"/>
        <w:rPr>
          <w:i/>
          <w:lang w:val="it-IT"/>
        </w:rPr>
      </w:pPr>
      <w:r w:rsidRPr="00113F9E">
        <w:rPr>
          <w:i/>
          <w:lang w:val="it-IT"/>
        </w:rPr>
        <w:t xml:space="preserve">Chưa rõ trình tự, thủ tục cử giám định viên tư pháp; </w:t>
      </w:r>
    </w:p>
    <w:p w14:paraId="0731D743" w14:textId="77777777" w:rsidR="005C5ABF" w:rsidRPr="00113F9E" w:rsidRDefault="005C5ABF" w:rsidP="005C5ABF">
      <w:pPr>
        <w:numPr>
          <w:ilvl w:val="0"/>
          <w:numId w:val="1"/>
        </w:numPr>
        <w:tabs>
          <w:tab w:val="left" w:pos="1134"/>
        </w:tabs>
        <w:spacing w:before="120" w:after="120" w:line="340" w:lineRule="atLeast"/>
        <w:ind w:left="0" w:firstLine="709"/>
        <w:jc w:val="both"/>
        <w:rPr>
          <w:i/>
          <w:lang w:val="it-IT"/>
        </w:rPr>
      </w:pPr>
      <w:r w:rsidRPr="00113F9E">
        <w:rPr>
          <w:i/>
          <w:lang w:val="it-IT"/>
        </w:rPr>
        <w:t xml:space="preserve"> Chưa quy định rõ về trình tự, thủ tục miễn nhiệm, thu hồi thẻ giám định viên tư pháp;</w:t>
      </w:r>
    </w:p>
    <w:p w14:paraId="1E1BDE83" w14:textId="77777777" w:rsidR="005C5ABF" w:rsidRPr="00113F9E" w:rsidRDefault="005C5ABF" w:rsidP="005C5ABF">
      <w:pPr>
        <w:numPr>
          <w:ilvl w:val="0"/>
          <w:numId w:val="1"/>
        </w:numPr>
        <w:tabs>
          <w:tab w:val="left" w:pos="1134"/>
        </w:tabs>
        <w:spacing w:before="120" w:after="120" w:line="340" w:lineRule="atLeast"/>
        <w:ind w:left="0" w:firstLine="709"/>
        <w:jc w:val="both"/>
        <w:rPr>
          <w:i/>
          <w:lang w:val="it-IT"/>
        </w:rPr>
      </w:pPr>
      <w:r w:rsidRPr="00113F9E">
        <w:rPr>
          <w:i/>
          <w:lang w:val="it-IT"/>
        </w:rPr>
        <w:t xml:space="preserve"> Chưa quy định rõ về lưu trữ hồ sơ; trách nhiệm của các đơn vị trong việc lưu trữ hồ sơ giám định tư pháp</w:t>
      </w:r>
      <w:r w:rsidRPr="00113F9E">
        <w:rPr>
          <w:lang w:val="it-IT"/>
        </w:rPr>
        <w:t>.</w:t>
      </w:r>
    </w:p>
    <w:p w14:paraId="2E3411C5" w14:textId="77777777" w:rsidR="005C5ABF" w:rsidRPr="005E206B" w:rsidRDefault="005C5ABF" w:rsidP="005C5ABF">
      <w:pPr>
        <w:numPr>
          <w:ilvl w:val="0"/>
          <w:numId w:val="1"/>
        </w:numPr>
        <w:tabs>
          <w:tab w:val="left" w:pos="1134"/>
        </w:tabs>
        <w:spacing w:before="120" w:after="120" w:line="340" w:lineRule="atLeast"/>
        <w:ind w:left="0" w:firstLine="709"/>
        <w:jc w:val="both"/>
        <w:rPr>
          <w:i/>
          <w:spacing w:val="-6"/>
          <w:lang w:val="it-IT"/>
        </w:rPr>
      </w:pPr>
      <w:r w:rsidRPr="005E206B">
        <w:rPr>
          <w:i/>
          <w:spacing w:val="-6"/>
          <w:lang w:val="it-IT"/>
        </w:rPr>
        <w:t>Chưa rõ về trách nhiệm của các đơn vị trong công tác giám định tư pháp.</w:t>
      </w:r>
    </w:p>
    <w:p w14:paraId="1E9A85AA" w14:textId="77777777" w:rsidR="005C5ABF" w:rsidRPr="005E206B" w:rsidRDefault="005C5ABF" w:rsidP="005C5ABF">
      <w:pPr>
        <w:spacing w:before="120" w:after="120" w:line="340" w:lineRule="atLeast"/>
        <w:ind w:firstLine="709"/>
        <w:jc w:val="both"/>
        <w:rPr>
          <w:i/>
          <w:lang w:val="it-IT"/>
        </w:rPr>
      </w:pPr>
      <w:r w:rsidRPr="005E206B">
        <w:rPr>
          <w:lang w:val="it-IT"/>
        </w:rPr>
        <w:t xml:space="preserve">Mặt khác, ngày 10/6/2020, Quốc hội đã thông qua Luật sửa đổi, bổ sung một số điều của Luật Giám định tư pháp; trong đó đã sửa đổi, bổ sung nhiều quy định mới so với quy định </w:t>
      </w:r>
      <w:r w:rsidRPr="005E206B">
        <w:rPr>
          <w:lang w:val="pt-BR"/>
        </w:rPr>
        <w:t xml:space="preserve">tại </w:t>
      </w:r>
      <w:r w:rsidRPr="005E206B">
        <w:rPr>
          <w:lang w:val="it-IT"/>
        </w:rPr>
        <w:t xml:space="preserve">Luật Giám định tư pháp năm 2012: (1) </w:t>
      </w:r>
      <w:r w:rsidRPr="005E206B">
        <w:rPr>
          <w:i/>
          <w:lang w:val="it-IT"/>
        </w:rPr>
        <w:t xml:space="preserve">sửa đổi về thời hạn giám định tư pháp; </w:t>
      </w:r>
      <w:r w:rsidRPr="005E206B">
        <w:rPr>
          <w:lang w:val="it-IT"/>
        </w:rPr>
        <w:t>(2)</w:t>
      </w:r>
      <w:r w:rsidRPr="005E206B">
        <w:rPr>
          <w:i/>
          <w:lang w:val="it-IT"/>
        </w:rPr>
        <w:t xml:space="preserve"> bổ sung quy định việc cấp, thu hồi thẻ giám định viên tư; </w:t>
      </w:r>
      <w:r w:rsidRPr="005E206B">
        <w:rPr>
          <w:lang w:val="it-IT"/>
        </w:rPr>
        <w:t>(3)</w:t>
      </w:r>
      <w:r w:rsidRPr="005E206B">
        <w:rPr>
          <w:i/>
          <w:lang w:val="it-IT"/>
        </w:rPr>
        <w:t xml:space="preserve"> bổ sung thêm trường hợp bị miễn nhiệm giám định viên tư pháp; </w:t>
      </w:r>
      <w:r w:rsidRPr="005E206B">
        <w:rPr>
          <w:lang w:val="it-IT"/>
        </w:rPr>
        <w:t>(4)</w:t>
      </w:r>
      <w:r w:rsidRPr="005E206B">
        <w:rPr>
          <w:i/>
          <w:lang w:val="it-IT"/>
        </w:rPr>
        <w:t xml:space="preserve"> quy định cụ thể hơn về quyền từ chối giám định của giám định viên tư pháp; </w:t>
      </w:r>
      <w:r w:rsidRPr="005E206B">
        <w:rPr>
          <w:lang w:val="it-IT"/>
        </w:rPr>
        <w:t>(5)</w:t>
      </w:r>
      <w:r w:rsidRPr="005E206B">
        <w:rPr>
          <w:i/>
          <w:lang w:val="it-IT"/>
        </w:rPr>
        <w:t xml:space="preserve"> quy định, chi tiết nghĩa vụ của người trưng cầu giám định; </w:t>
      </w:r>
      <w:r w:rsidRPr="005E206B">
        <w:rPr>
          <w:lang w:val="it-IT"/>
        </w:rPr>
        <w:t>(6)</w:t>
      </w:r>
      <w:r w:rsidRPr="005E206B">
        <w:rPr>
          <w:i/>
          <w:lang w:val="it-IT"/>
        </w:rPr>
        <w:t xml:space="preserve"> bổ sung quy định thời hạn giám định trong trường hợp trưng cầu giám định;....). </w:t>
      </w:r>
    </w:p>
    <w:p w14:paraId="29068F18" w14:textId="77777777" w:rsidR="005C5ABF" w:rsidRPr="005E206B" w:rsidRDefault="005C5ABF" w:rsidP="005C5ABF">
      <w:pPr>
        <w:spacing w:before="120" w:after="120" w:line="340" w:lineRule="atLeast"/>
        <w:ind w:firstLine="709"/>
        <w:jc w:val="both"/>
        <w:rPr>
          <w:lang w:val="it-IT"/>
        </w:rPr>
      </w:pPr>
      <w:r w:rsidRPr="005E206B">
        <w:rPr>
          <w:lang w:val="it-IT"/>
        </w:rPr>
        <w:t>Do đó, cần phải rà soát, sửa đổi Thông tư số 07/2014/TT-BKHĐT ngày 24/11/2014 và Thông tư số 12/2015/TT-BKHĐT ngày 27/10/2015 bảo đảm phù hợp với quy định mới và giải quyết những khó khăn, phát sinh trong quá trình triển khai 02 Thông tư nêu trên.</w:t>
      </w:r>
    </w:p>
    <w:p w14:paraId="7BAC585E" w14:textId="77777777" w:rsidR="005C5ABF" w:rsidRPr="005E206B" w:rsidRDefault="005C5ABF" w:rsidP="005C5ABF">
      <w:pPr>
        <w:spacing w:before="120" w:after="120" w:line="340" w:lineRule="atLeast"/>
        <w:ind w:firstLine="709"/>
        <w:jc w:val="both"/>
        <w:rPr>
          <w:spacing w:val="2"/>
          <w:lang w:val="it-IT"/>
        </w:rPr>
      </w:pPr>
      <w:r w:rsidRPr="005E206B">
        <w:rPr>
          <w:spacing w:val="2"/>
          <w:lang w:val="pt-BR"/>
        </w:rPr>
        <w:t xml:space="preserve">Liên quan đến vấn đề này, </w:t>
      </w:r>
      <w:r w:rsidRPr="005E206B">
        <w:rPr>
          <w:spacing w:val="2"/>
          <w:lang w:val="it-IT"/>
        </w:rPr>
        <w:t xml:space="preserve">tại </w:t>
      </w:r>
      <w:r w:rsidRPr="005E206B">
        <w:rPr>
          <w:spacing w:val="2"/>
          <w:lang w:val="pt-BR"/>
        </w:rPr>
        <w:t>điểm c mục 3 phần II Quyết định số 1450/QĐ-TTg của Thủ tướng Chính phủ về việc ban hành Kế hoạch triển khai thi hành Luật sửa đổi, bổ sung một số điều của Luật Giám định tư pháp đã giao “</w:t>
      </w:r>
      <w:r w:rsidRPr="005E206B">
        <w:rPr>
          <w:i/>
          <w:spacing w:val="2"/>
          <w:lang w:val="pt-BR"/>
        </w:rPr>
        <w:t>Các bộ, cơ quan ngang Bộ chủ trì, phối hợp với Bộ Tư pháp và các cơ quan có liên quan sửa đổi, bổ sung hoặc ban hành mới Thông tư quy định về trình tự, thủ tục bổ nhiệm, miễn nhiệm, cấp thẻ, thu hồi thẻ giám định viên tư pháp đối với lĩnh vực giám định tư pháp thuộc thẩm quyền quản lý của các bộ, cơ quan ngang Bộ</w:t>
      </w:r>
      <w:r w:rsidRPr="005E206B">
        <w:rPr>
          <w:spacing w:val="2"/>
          <w:lang w:val="pt-BR"/>
        </w:rPr>
        <w:t>”</w:t>
      </w:r>
      <w:r w:rsidRPr="005E206B">
        <w:rPr>
          <w:spacing w:val="2"/>
          <w:lang w:val="it-IT"/>
        </w:rPr>
        <w:t>.</w:t>
      </w:r>
    </w:p>
    <w:p w14:paraId="1DC70763" w14:textId="77777777" w:rsidR="005C5ABF" w:rsidRPr="005E206B" w:rsidRDefault="005C5ABF" w:rsidP="005C5ABF">
      <w:pPr>
        <w:spacing w:before="120" w:after="120" w:line="340" w:lineRule="atLeast"/>
        <w:ind w:firstLine="709"/>
        <w:jc w:val="both"/>
        <w:rPr>
          <w:lang w:val="it-IT"/>
        </w:rPr>
      </w:pPr>
      <w:r w:rsidRPr="005E206B">
        <w:rPr>
          <w:lang w:val="it-IT"/>
        </w:rPr>
        <w:t>Từ các lý do nêu trên, việc nghiên cứu xây dựng Thông tư thay thế Thông tư số 07/2014/TT-BKHĐT ngày 24/11/2014 và Thông tư số 12/2015/TT-BKHĐT ngày 27/10/2015 để phù hợp với quy định của Luật Giám định tư pháp năm 2012 và Luật sửa đổi, bổ sung một số điều của Luật Giám định tư pháp và giải quyết những vướng mắc, khó khăn trong thực tiễn áp dụng 02 thông tư nêu trên; đảm bảo sự đồng bộ, thống nhất cũng như nâng cao chất lượng, hiệu quả công tác giám định tư pháp trong lĩnh vực kế hoạch và đầu tư là cần thiết và có cơ sở pháp lý.</w:t>
      </w:r>
    </w:p>
    <w:p w14:paraId="7773108B" w14:textId="77777777" w:rsidR="005C5ABF" w:rsidRPr="005E206B" w:rsidRDefault="005C5ABF" w:rsidP="005C5ABF">
      <w:pPr>
        <w:spacing w:before="120" w:after="120" w:line="340" w:lineRule="atLeast"/>
        <w:ind w:firstLine="709"/>
        <w:rPr>
          <w:lang w:val="it-IT"/>
        </w:rPr>
      </w:pPr>
      <w:r w:rsidRPr="005E206B">
        <w:rPr>
          <w:b/>
          <w:bCs/>
          <w:lang w:val="vi-VN"/>
        </w:rPr>
        <w:t>II. MỤC ĐÍCH</w:t>
      </w:r>
      <w:r>
        <w:rPr>
          <w:b/>
          <w:bCs/>
        </w:rPr>
        <w:t xml:space="preserve"> BAN HÀNH</w:t>
      </w:r>
      <w:r w:rsidRPr="005E206B">
        <w:rPr>
          <w:b/>
          <w:bCs/>
          <w:lang w:val="vi-VN"/>
        </w:rPr>
        <w:t xml:space="preserve">, QUAN ĐIỂM XÂY DỰNG DỰ THẢO </w:t>
      </w:r>
      <w:r w:rsidRPr="005E206B">
        <w:rPr>
          <w:b/>
          <w:bCs/>
          <w:lang w:val="it-IT"/>
        </w:rPr>
        <w:t>THÔNG TƯ</w:t>
      </w:r>
    </w:p>
    <w:p w14:paraId="144E8B73" w14:textId="77777777" w:rsidR="005C5ABF" w:rsidRPr="000B4119" w:rsidRDefault="005C5ABF" w:rsidP="005C5ABF">
      <w:pPr>
        <w:spacing w:before="120" w:after="120" w:line="340" w:lineRule="atLeast"/>
        <w:ind w:firstLine="709"/>
        <w:rPr>
          <w:b/>
          <w:bCs/>
        </w:rPr>
      </w:pPr>
      <w:r w:rsidRPr="005E206B">
        <w:rPr>
          <w:b/>
          <w:bCs/>
          <w:lang w:val="vi-VN"/>
        </w:rPr>
        <w:t>1. Mục đích</w:t>
      </w:r>
      <w:r>
        <w:rPr>
          <w:b/>
          <w:bCs/>
        </w:rPr>
        <w:t xml:space="preserve"> ban hành văn bản</w:t>
      </w:r>
    </w:p>
    <w:p w14:paraId="2448846F" w14:textId="77777777" w:rsidR="005C5ABF" w:rsidRPr="005E206B" w:rsidRDefault="005C5ABF" w:rsidP="005C5ABF">
      <w:pPr>
        <w:tabs>
          <w:tab w:val="left" w:pos="-90"/>
        </w:tabs>
        <w:spacing w:before="120" w:after="120" w:line="340" w:lineRule="atLeast"/>
        <w:ind w:firstLine="709"/>
        <w:jc w:val="both"/>
        <w:rPr>
          <w:lang w:val="it-IT"/>
        </w:rPr>
      </w:pPr>
      <w:r w:rsidRPr="005E206B">
        <w:rPr>
          <w:spacing w:val="-2"/>
          <w:lang w:val="da-DK"/>
        </w:rPr>
        <w:lastRenderedPageBreak/>
        <w:t xml:space="preserve">Việc xây dựng dự thảo Thông tư này nhằm </w:t>
      </w:r>
      <w:r w:rsidRPr="005E206B">
        <w:rPr>
          <w:spacing w:val="-2"/>
          <w:lang w:val="vi-VN"/>
        </w:rPr>
        <w:t xml:space="preserve">điều chỉnh những nội dung bất cập, bảo đảm tính khả thi, </w:t>
      </w:r>
      <w:r w:rsidRPr="005E206B">
        <w:rPr>
          <w:spacing w:val="-2"/>
          <w:lang w:val="it-IT"/>
        </w:rPr>
        <w:t xml:space="preserve">rõ trách nhiệm của các đơn vị, </w:t>
      </w:r>
      <w:r w:rsidRPr="005E206B">
        <w:rPr>
          <w:lang w:val="it-IT"/>
        </w:rPr>
        <w:t>phù hợp với quy định của Luật Giám định tư pháp và Luật sửa đổi, bổ sung một số điều của Luật Giám định tư pháp</w:t>
      </w:r>
      <w:r w:rsidRPr="005E206B">
        <w:rPr>
          <w:spacing w:val="-2"/>
          <w:lang w:val="vi-VN"/>
        </w:rPr>
        <w:t xml:space="preserve"> </w:t>
      </w:r>
      <w:r w:rsidRPr="005E206B">
        <w:rPr>
          <w:spacing w:val="-2"/>
          <w:lang w:val="it-IT"/>
        </w:rPr>
        <w:t xml:space="preserve">và </w:t>
      </w:r>
      <w:r w:rsidRPr="005E206B">
        <w:rPr>
          <w:spacing w:val="-2"/>
          <w:lang w:val="vi-VN"/>
        </w:rPr>
        <w:t>phù hợp với hệ thống pháp luật khác</w:t>
      </w:r>
      <w:r w:rsidRPr="005E206B">
        <w:rPr>
          <w:spacing w:val="-2"/>
          <w:lang w:val="it-IT"/>
        </w:rPr>
        <w:t xml:space="preserve"> có liên quan.</w:t>
      </w:r>
    </w:p>
    <w:p w14:paraId="0D0D5F02" w14:textId="77777777" w:rsidR="005C5ABF" w:rsidRPr="000B4119" w:rsidRDefault="005C5ABF" w:rsidP="005C5ABF">
      <w:pPr>
        <w:spacing w:before="120" w:after="120" w:line="340" w:lineRule="atLeast"/>
        <w:ind w:firstLine="709"/>
      </w:pPr>
      <w:r w:rsidRPr="005E206B">
        <w:rPr>
          <w:b/>
          <w:bCs/>
          <w:lang w:val="vi-VN"/>
        </w:rPr>
        <w:t xml:space="preserve">2. Quan điểm xây dựng dự thảo </w:t>
      </w:r>
      <w:r>
        <w:rPr>
          <w:b/>
          <w:bCs/>
        </w:rPr>
        <w:t>thông tư</w:t>
      </w:r>
    </w:p>
    <w:p w14:paraId="55028A8B" w14:textId="77777777" w:rsidR="005C5ABF" w:rsidRPr="005E206B" w:rsidRDefault="005C5ABF" w:rsidP="005C5ABF">
      <w:pPr>
        <w:spacing w:before="120" w:after="120" w:line="340" w:lineRule="atLeast"/>
        <w:ind w:firstLine="709"/>
        <w:jc w:val="both"/>
        <w:rPr>
          <w:lang w:val="nb-NO"/>
        </w:rPr>
      </w:pPr>
      <w:r w:rsidRPr="005E206B">
        <w:rPr>
          <w:lang w:val="de-DE"/>
        </w:rPr>
        <w:t xml:space="preserve">- Kế thừa các quy định còn phù hợp tại </w:t>
      </w:r>
      <w:r w:rsidRPr="005E206B">
        <w:rPr>
          <w:lang w:val="nb-NO"/>
        </w:rPr>
        <w:t>Thông tư số 07/2014/TT-BKHĐT ngày 24/11/2014 và Thông tư số 12/2015/TT-BKHĐT ngày 27/10/2015.</w:t>
      </w:r>
    </w:p>
    <w:p w14:paraId="5D89E6E3" w14:textId="77777777" w:rsidR="005C5ABF" w:rsidRPr="005E206B" w:rsidRDefault="005C5ABF" w:rsidP="005C5ABF">
      <w:pPr>
        <w:spacing w:before="120" w:after="120" w:line="340" w:lineRule="atLeast"/>
        <w:ind w:firstLine="709"/>
        <w:jc w:val="both"/>
        <w:rPr>
          <w:lang w:val="nb-NO"/>
        </w:rPr>
      </w:pPr>
      <w:r w:rsidRPr="005E206B">
        <w:rPr>
          <w:lang w:val="de-DE"/>
        </w:rPr>
        <w:t xml:space="preserve">- Rà soát, sửa đổi các quy định trước đây để phù hợp với quy định của </w:t>
      </w:r>
      <w:r w:rsidRPr="005E206B">
        <w:rPr>
          <w:lang w:val="it-IT"/>
        </w:rPr>
        <w:t xml:space="preserve">Luật sửa đổi, bổ sung một số điều của Luật Giám định tư pháp và Nghị định số 157/2020/NĐ-CP ngày 31/12/2020 của Chính phủ sửa đổi, bổ sung một số điều của Nghị định số 85/2013/NĐ-CP ngày 29/7/2013 quy định chi tiết và biện pháp thi hành Luật Giám định tư pháp, </w:t>
      </w:r>
      <w:r w:rsidRPr="005E206B">
        <w:rPr>
          <w:bCs/>
          <w:lang w:val="nb-NO"/>
        </w:rPr>
        <w:t>Thông tư số 11/2020/TT-BTP ngày 31/12/2020 của Bộ Tư pháp quy định về mẫu thẻ, trình tự, thủ tụ cấp mới, cấp lại thẻ giám định viên tư pháp.</w:t>
      </w:r>
    </w:p>
    <w:p w14:paraId="0E6B7DFE" w14:textId="77777777" w:rsidR="005C5ABF" w:rsidRPr="005E206B" w:rsidRDefault="005C5ABF" w:rsidP="005C5ABF">
      <w:pPr>
        <w:spacing w:before="120" w:after="120" w:line="340" w:lineRule="atLeast"/>
        <w:ind w:firstLine="709"/>
        <w:jc w:val="both"/>
        <w:rPr>
          <w:lang w:val="de-DE"/>
        </w:rPr>
      </w:pPr>
      <w:r w:rsidRPr="005E206B">
        <w:rPr>
          <w:b/>
          <w:lang w:val="de-DE"/>
        </w:rPr>
        <w:t>-</w:t>
      </w:r>
      <w:r w:rsidRPr="005E206B">
        <w:rPr>
          <w:lang w:val="de-DE"/>
        </w:rPr>
        <w:t xml:space="preserve"> Quy định rõ về trình tự, thủ tục và trách nhiệm trong hoạt động giám định tư pháp.</w:t>
      </w:r>
    </w:p>
    <w:p w14:paraId="4CCD1F7D" w14:textId="77777777" w:rsidR="005C5ABF" w:rsidRPr="005E206B" w:rsidRDefault="005C5ABF" w:rsidP="005C5ABF">
      <w:pPr>
        <w:spacing w:before="120" w:after="120" w:line="340" w:lineRule="atLeast"/>
        <w:ind w:firstLine="709"/>
        <w:jc w:val="both"/>
        <w:rPr>
          <w:lang w:val="nl-NL"/>
        </w:rPr>
      </w:pPr>
      <w:r w:rsidRPr="005E206B">
        <w:rPr>
          <w:lang w:val="de-DE"/>
        </w:rPr>
        <w:t>- Sửa đổi, bổ sung một số quy định cho phù hợp với đặc thù của ngành kế hoạch và đầu tư và thực tiễn công tác giám định tư pháp trong lĩnh vực kế hoạch và đầu tư để khắc phục kịp thời những tồn tại, hạn chế, qua đó góp phần nâng cao chất lượng, hiệu quả công tác giám định tư pháp trong lĩnh vực kế hoạch và đầu tư.</w:t>
      </w:r>
    </w:p>
    <w:p w14:paraId="743DCA4F" w14:textId="77777777" w:rsidR="005C5ABF" w:rsidRDefault="005C5ABF" w:rsidP="005C5ABF">
      <w:pPr>
        <w:spacing w:before="120" w:after="120"/>
        <w:ind w:firstLine="709"/>
      </w:pPr>
      <w:r>
        <w:rPr>
          <w:b/>
          <w:bCs/>
          <w:lang w:val="en-SG"/>
        </w:rPr>
        <w:t>III. PHẠM VI ĐIỀU CHỈNH, ĐỐI TƯỢNG ÁP DỤNG CỦA DỰ ÁN, DỰ THẢO VĂN BẢN</w:t>
      </w:r>
    </w:p>
    <w:p w14:paraId="018738FB" w14:textId="77777777" w:rsidR="005C5ABF" w:rsidRDefault="005C5ABF" w:rsidP="005C5ABF">
      <w:pPr>
        <w:numPr>
          <w:ilvl w:val="0"/>
          <w:numId w:val="2"/>
        </w:numPr>
        <w:spacing w:before="120" w:after="120"/>
        <w:rPr>
          <w:b/>
          <w:bCs/>
        </w:rPr>
      </w:pPr>
      <w:r>
        <w:rPr>
          <w:b/>
          <w:bCs/>
        </w:rPr>
        <w:t>Phạm vi điều chỉnh</w:t>
      </w:r>
    </w:p>
    <w:p w14:paraId="3BA1A776" w14:textId="77777777" w:rsidR="005C5ABF" w:rsidRPr="00535A58" w:rsidRDefault="005C5ABF" w:rsidP="005C5ABF">
      <w:pPr>
        <w:spacing w:before="120" w:after="120"/>
        <w:ind w:firstLine="709"/>
        <w:jc w:val="both"/>
        <w:rPr>
          <w:spacing w:val="-4"/>
        </w:rPr>
      </w:pPr>
      <w:r w:rsidRPr="00535A58">
        <w:rPr>
          <w:spacing w:val="-4"/>
        </w:rPr>
        <w:t xml:space="preserve">Thông tư này quy định về tiêu chuẩn, hồ sơ, trình tự, thủ tục bổ nhiệm, miễn nhiệm giám định viên tư pháp và việc cấp, thu hồi thẻ giám định viên tư pháp; lập, công bố và đăng tải danh sách giám định viên tư pháp theo vụ việc, người giám định tư pháp, tổ chức giám định tư pháp theo vụ việc; quy chuẩn, tiêu chuẩn chuyên môn, </w:t>
      </w:r>
      <w:r w:rsidRPr="00535A58">
        <w:rPr>
          <w:bCs/>
          <w:spacing w:val="-4"/>
        </w:rPr>
        <w:t>quy trình thực hiện giám định tư pháp trong lĩnh vực kế hoạch và đầu tư;</w:t>
      </w:r>
      <w:r w:rsidRPr="00535A58">
        <w:rPr>
          <w:spacing w:val="-4"/>
        </w:rPr>
        <w:t xml:space="preserve"> tiếp nhận trưng cầu giám định tư pháp; hồ sơ, kết luận giám định tư pháp; thủ tục cử người tham gia giám định tư pháp</w:t>
      </w:r>
      <w:r w:rsidRPr="00535A58">
        <w:rPr>
          <w:i/>
          <w:iCs/>
          <w:spacing w:val="-4"/>
        </w:rPr>
        <w:t xml:space="preserve"> </w:t>
      </w:r>
      <w:r w:rsidRPr="00535A58">
        <w:rPr>
          <w:spacing w:val="-4"/>
        </w:rPr>
        <w:t xml:space="preserve">và các nội dung khác liên quan đến giám định tư pháp trong lĩnh vực kế hoạch và đầu tư </w:t>
      </w:r>
      <w:r w:rsidRPr="00535A58">
        <w:rPr>
          <w:bCs/>
          <w:spacing w:val="-4"/>
        </w:rPr>
        <w:t>theo quy định tại Điều 1 Nghị định số 89/2022/NĐ-CP ngày 28/10/2022 của Chính phủ quy định chức năng, nhiệm vụ, quyền hạn, cơ cấu tổ chức của Bộ Kế hoạch và Đầu tư</w:t>
      </w:r>
      <w:r w:rsidRPr="00535A58">
        <w:rPr>
          <w:spacing w:val="-4"/>
        </w:rPr>
        <w:t>.</w:t>
      </w:r>
    </w:p>
    <w:p w14:paraId="43A22F23" w14:textId="77777777" w:rsidR="005C5ABF" w:rsidRDefault="005C5ABF" w:rsidP="005C5ABF">
      <w:pPr>
        <w:spacing w:before="120" w:after="120"/>
        <w:ind w:firstLine="709"/>
      </w:pPr>
      <w:r>
        <w:rPr>
          <w:b/>
          <w:bCs/>
          <w:lang w:val="en-SG"/>
        </w:rPr>
        <w:t xml:space="preserve">2. </w:t>
      </w:r>
      <w:r>
        <w:rPr>
          <w:b/>
          <w:bCs/>
        </w:rPr>
        <w:t>Đối tượng áp dụng</w:t>
      </w:r>
    </w:p>
    <w:p w14:paraId="3FF72BC7" w14:textId="77777777" w:rsidR="005C5ABF" w:rsidRPr="00535A58" w:rsidRDefault="005C5ABF" w:rsidP="005C5ABF">
      <w:pPr>
        <w:spacing w:before="120" w:after="120"/>
        <w:ind w:firstLine="567"/>
        <w:jc w:val="both"/>
        <w:rPr>
          <w:iCs/>
          <w:spacing w:val="-4"/>
        </w:rPr>
      </w:pPr>
      <w:r w:rsidRPr="00535A58">
        <w:rPr>
          <w:spacing w:val="-4"/>
        </w:rPr>
        <w:t>Thông tư này áp dụng đối với cơ quan, tổ chức, cá nhân có liên quan đến hoạt động giám định tư pháp trong lĩnh vực kế hoạch và đầu tư.</w:t>
      </w:r>
    </w:p>
    <w:p w14:paraId="085757E0" w14:textId="77777777" w:rsidR="005C5ABF" w:rsidRPr="005E206B" w:rsidRDefault="005C5ABF" w:rsidP="005C5ABF">
      <w:pPr>
        <w:spacing w:before="120" w:after="120" w:line="340" w:lineRule="atLeast"/>
        <w:ind w:firstLine="709"/>
        <w:jc w:val="both"/>
        <w:rPr>
          <w:b/>
          <w:bCs/>
          <w:lang w:val="nl-NL"/>
        </w:rPr>
      </w:pPr>
      <w:r w:rsidRPr="005E206B">
        <w:rPr>
          <w:b/>
          <w:bCs/>
          <w:lang w:val="vi-VN"/>
        </w:rPr>
        <w:t>I</w:t>
      </w:r>
      <w:r>
        <w:rPr>
          <w:b/>
          <w:bCs/>
        </w:rPr>
        <w:t>V</w:t>
      </w:r>
      <w:r w:rsidRPr="005E206B">
        <w:rPr>
          <w:b/>
          <w:bCs/>
          <w:lang w:val="vi-VN"/>
        </w:rPr>
        <w:t xml:space="preserve">. QUÁ TRÌNH XÂY DỰNG DỰ THẢO </w:t>
      </w:r>
      <w:r w:rsidRPr="005E206B">
        <w:rPr>
          <w:b/>
          <w:bCs/>
          <w:lang w:val="nl-NL"/>
        </w:rPr>
        <w:t>THÔNG TƯ</w:t>
      </w:r>
    </w:p>
    <w:p w14:paraId="19D2D30A" w14:textId="77777777" w:rsidR="005C5ABF" w:rsidRPr="005E206B" w:rsidRDefault="005C5ABF" w:rsidP="005C5ABF">
      <w:pPr>
        <w:spacing w:before="120" w:after="120" w:line="340" w:lineRule="atLeast"/>
        <w:ind w:firstLine="709"/>
        <w:jc w:val="both"/>
        <w:rPr>
          <w:lang w:val="pt-BR"/>
        </w:rPr>
      </w:pPr>
      <w:r w:rsidRPr="005E206B">
        <w:rPr>
          <w:lang w:val="pt-BR"/>
        </w:rPr>
        <w:lastRenderedPageBreak/>
        <w:t>Để triển khai thi hành Luật, ngày 24/9/2020 Thủ tướng Chính phủ đã ban hành Quyết định số 1450/QĐ-TTg về Kế hoạch triển khai thi hành Luật sửa đổi, bổ sung một số điều của Luật Giám định tư pháp, trong đó có giao “</w:t>
      </w:r>
      <w:r w:rsidRPr="005E206B">
        <w:rPr>
          <w:i/>
          <w:lang w:val="pt-BR"/>
        </w:rPr>
        <w:t>Các bộ, cơ quan ngang Bộ chủ trì, phối hợp với Bộ Tư pháp và các cơ quan có liên quan sửa đổi, bổ sung hoặc ban hành mới Thông tư quy định về trình tự, thủ tục bổ nhiệm, miễn nhiệm, cấp thẻ, thu hồi thẻ giám định viên tư pháp đối với lĩnh vực giám định tư pháp thuộc thẩm quyền quản lý của các bộ, cơ quan ngang Bộ</w:t>
      </w:r>
      <w:r w:rsidRPr="005E206B">
        <w:rPr>
          <w:lang w:val="pt-BR"/>
        </w:rPr>
        <w:t>” (</w:t>
      </w:r>
      <w:r w:rsidRPr="005E206B">
        <w:rPr>
          <w:i/>
          <w:lang w:val="pt-BR"/>
        </w:rPr>
        <w:t>điểm c mục 3 Phần II của Quyết định số 1450/QĐ-TTg</w:t>
      </w:r>
      <w:r w:rsidRPr="005E206B">
        <w:rPr>
          <w:lang w:val="pt-BR"/>
        </w:rPr>
        <w:t xml:space="preserve">). </w:t>
      </w:r>
    </w:p>
    <w:p w14:paraId="47F6F5FB" w14:textId="77777777" w:rsidR="005C5ABF" w:rsidRPr="005E206B" w:rsidRDefault="005C5ABF" w:rsidP="005C5ABF">
      <w:pPr>
        <w:spacing w:before="120" w:after="120" w:line="340" w:lineRule="atLeast"/>
        <w:ind w:firstLine="709"/>
        <w:jc w:val="both"/>
        <w:rPr>
          <w:lang w:val="nb-NO"/>
        </w:rPr>
      </w:pPr>
      <w:r w:rsidRPr="005E206B">
        <w:rPr>
          <w:lang w:val="nl-NL"/>
        </w:rPr>
        <w:t xml:space="preserve">Trong năm 2022, đã tổ chức rà soát, đánh giá nội dung </w:t>
      </w:r>
      <w:r w:rsidRPr="005E206B">
        <w:rPr>
          <w:lang w:val="nb-NO"/>
        </w:rPr>
        <w:t>Thông tư số 07/2014/TT-BKHĐT ngày 24/11/2014, Thông tư số 12/2015/TT-BKHĐT ngày 27/10/2015 làm cơ sở cho xây dựng dự thảo Thông tư.</w:t>
      </w:r>
    </w:p>
    <w:p w14:paraId="684785BB" w14:textId="77777777" w:rsidR="005C5ABF" w:rsidRPr="005E206B" w:rsidRDefault="005C5ABF" w:rsidP="005C5ABF">
      <w:pPr>
        <w:spacing w:before="120" w:after="120" w:line="340" w:lineRule="atLeast"/>
        <w:ind w:firstLine="709"/>
        <w:jc w:val="both"/>
        <w:rPr>
          <w:lang w:val="nl-NL"/>
        </w:rPr>
      </w:pPr>
      <w:r w:rsidRPr="005E206B">
        <w:rPr>
          <w:lang w:val="nl-NL"/>
        </w:rPr>
        <w:t xml:space="preserve">Thực hiện nhiệm vụ xây dựng văn bản quy phạm pháp luật, Vụ Pháp chế chủ trì, phối hợp với các đơn vị có liên quan soạn thảo Thông tư quy định một số nội dung về hoạt động giám định tư pháp trong lĩnh vực kế hoạch và đầu tư. </w:t>
      </w:r>
    </w:p>
    <w:p w14:paraId="1AE25830" w14:textId="77777777" w:rsidR="005C5ABF" w:rsidRPr="005E206B" w:rsidRDefault="005C5ABF" w:rsidP="005C5ABF">
      <w:pPr>
        <w:spacing w:before="120" w:after="120" w:line="340" w:lineRule="atLeast"/>
        <w:ind w:firstLine="709"/>
        <w:jc w:val="both"/>
        <w:rPr>
          <w:lang w:val="nl-NL"/>
        </w:rPr>
      </w:pPr>
      <w:r w:rsidRPr="005E206B">
        <w:rPr>
          <w:lang w:val="nl-NL"/>
        </w:rPr>
        <w:t>Đã gửi văn bản xin ý kiến và tiếp thu, giải trình ý kiến các đơn vị thuộc Bộ. Vụ Pháp chế đã hoàn thiện dự thảo, tham mưu Bộ có văn bản gửi Bộ Tư pháp, Bộ Công an, Ban Nội chính Trung ương, các đơn vị thuộc Bộ và địa phương, tổ chức có liên quan để lấy ý kiến.</w:t>
      </w:r>
    </w:p>
    <w:p w14:paraId="785DE993" w14:textId="77777777" w:rsidR="005C5ABF" w:rsidRPr="005E206B" w:rsidRDefault="005C5ABF" w:rsidP="005C5ABF">
      <w:pPr>
        <w:spacing w:before="120" w:after="120" w:line="340" w:lineRule="atLeast"/>
        <w:ind w:firstLine="709"/>
        <w:jc w:val="both"/>
        <w:rPr>
          <w:lang w:val="sv-SE"/>
        </w:rPr>
      </w:pPr>
      <w:r w:rsidRPr="005E206B">
        <w:rPr>
          <w:lang w:val="nl-NL"/>
        </w:rPr>
        <w:t xml:space="preserve">Đã đăng tải dự thảo trên Cổng thông tin điện tử của Chính phủ và của Bộ Kế hoạch và Đầu tư để tổ chức, cá nhân tham gia góp ý. Đã tổng hợp, tiếp thu, giải trình ý kiến góp ý của các đơn vị, hoàn thiện dự thảo. </w:t>
      </w:r>
    </w:p>
    <w:p w14:paraId="45D698D3" w14:textId="77777777" w:rsidR="005C5ABF" w:rsidRDefault="005C5ABF" w:rsidP="005C5ABF">
      <w:pPr>
        <w:spacing w:before="120" w:after="120" w:line="340" w:lineRule="atLeast"/>
        <w:ind w:firstLine="709"/>
        <w:jc w:val="both"/>
        <w:rPr>
          <w:spacing w:val="2"/>
          <w:lang w:val="sv-SE"/>
        </w:rPr>
      </w:pPr>
      <w:r w:rsidRPr="005E206B">
        <w:rPr>
          <w:spacing w:val="2"/>
          <w:lang w:val="sv-SE"/>
        </w:rPr>
        <w:t xml:space="preserve">Theo quy trình xây dựng văn bản quy phạm pháp luật, </w:t>
      </w:r>
      <w:r w:rsidRPr="000F1739">
        <w:t>Bộ trưởng Bộ Kế hoạch và Đầu tư</w:t>
      </w:r>
      <w:r w:rsidRPr="005E206B">
        <w:rPr>
          <w:spacing w:val="2"/>
          <w:lang w:val="sv-SE"/>
        </w:rPr>
        <w:t xml:space="preserve"> </w:t>
      </w:r>
      <w:r>
        <w:rPr>
          <w:spacing w:val="2"/>
          <w:lang w:val="sv-SE"/>
        </w:rPr>
        <w:t xml:space="preserve">đã ban hành </w:t>
      </w:r>
      <w:r w:rsidRPr="000F1739">
        <w:t>Quyết định số 1424/QĐ-BKHĐT ngày 24/6/2024</w:t>
      </w:r>
      <w:r>
        <w:t xml:space="preserve"> về việc thành lập </w:t>
      </w:r>
      <w:r w:rsidRPr="000F1739">
        <w:t>Hội đồng tư vấn thẩm định dự thảo Thông tư quy định về giám định tư pháp trong lĩnh vực kế hoạch và đầu tư</w:t>
      </w:r>
      <w:r>
        <w:t>.</w:t>
      </w:r>
    </w:p>
    <w:p w14:paraId="54B1AA32" w14:textId="77777777" w:rsidR="005C5ABF" w:rsidRPr="005E206B" w:rsidRDefault="005C5ABF" w:rsidP="005C5ABF">
      <w:pPr>
        <w:spacing w:before="120" w:after="120" w:line="340" w:lineRule="atLeast"/>
        <w:ind w:firstLine="709"/>
        <w:jc w:val="both"/>
        <w:rPr>
          <w:spacing w:val="2"/>
          <w:lang w:val="sv-SE"/>
        </w:rPr>
      </w:pPr>
      <w:r>
        <w:rPr>
          <w:spacing w:val="2"/>
          <w:lang w:val="sv-SE"/>
        </w:rPr>
        <w:t>N</w:t>
      </w:r>
      <w:r w:rsidRPr="005E206B">
        <w:rPr>
          <w:spacing w:val="2"/>
          <w:lang w:val="sv-SE"/>
        </w:rPr>
        <w:t xml:space="preserve">gày </w:t>
      </w:r>
      <w:r>
        <w:rPr>
          <w:spacing w:val="2"/>
          <w:lang w:val="sv-SE"/>
        </w:rPr>
        <w:t>17</w:t>
      </w:r>
      <w:r w:rsidRPr="005E206B">
        <w:rPr>
          <w:spacing w:val="2"/>
          <w:lang w:val="sv-SE"/>
        </w:rPr>
        <w:t>/</w:t>
      </w:r>
      <w:r>
        <w:rPr>
          <w:spacing w:val="2"/>
          <w:lang w:val="sv-SE"/>
        </w:rPr>
        <w:t>7</w:t>
      </w:r>
      <w:r w:rsidRPr="005E206B">
        <w:rPr>
          <w:spacing w:val="2"/>
          <w:lang w:val="sv-SE"/>
        </w:rPr>
        <w:t xml:space="preserve">/2024, Hội đồng tư vấn thẩm định đã tổ chức họp </w:t>
      </w:r>
      <w:r>
        <w:rPr>
          <w:spacing w:val="2"/>
          <w:lang w:val="sv-SE"/>
        </w:rPr>
        <w:t xml:space="preserve">thẩm định </w:t>
      </w:r>
      <w:r w:rsidRPr="005E206B">
        <w:rPr>
          <w:spacing w:val="2"/>
          <w:lang w:val="sv-SE"/>
        </w:rPr>
        <w:t>dự thảo Thông tư. Trên cơ sở tổng hợp, tiếp thu ý kiến của Hội đồng tư vấn thẩm định, Vụ Pháp chế đã hoàn thiện dự thảo Thông tư</w:t>
      </w:r>
      <w:r>
        <w:rPr>
          <w:spacing w:val="2"/>
          <w:lang w:val="sv-SE"/>
        </w:rPr>
        <w:t>.</w:t>
      </w:r>
      <w:r w:rsidRPr="005E206B">
        <w:rPr>
          <w:spacing w:val="2"/>
          <w:lang w:val="sv-SE"/>
        </w:rPr>
        <w:t xml:space="preserve"> </w:t>
      </w:r>
      <w:r>
        <w:rPr>
          <w:spacing w:val="2"/>
          <w:lang w:val="sv-SE"/>
        </w:rPr>
        <w:t>Tham mưu văn bản xin ý kiến Bộ Tư pháp (</w:t>
      </w:r>
      <w:r w:rsidRPr="005E206B">
        <w:rPr>
          <w:i/>
          <w:spacing w:val="2"/>
          <w:lang w:val="sv-SE"/>
        </w:rPr>
        <w:t>theo đúng trình tự quy định tại Luật Giám định tư pháp</w:t>
      </w:r>
      <w:r>
        <w:rPr>
          <w:spacing w:val="2"/>
          <w:lang w:val="sv-SE"/>
        </w:rPr>
        <w:t xml:space="preserve">) và xin ý kiến Ban cán sự Đảng bộ, trên cơ sở đó đã tiếp thu ý kiến và </w:t>
      </w:r>
      <w:r w:rsidRPr="005E206B">
        <w:rPr>
          <w:spacing w:val="2"/>
          <w:lang w:val="sv-SE"/>
        </w:rPr>
        <w:t>báo cáo Bộ trưởng xem xét, quyết định ban hành.</w:t>
      </w:r>
    </w:p>
    <w:p w14:paraId="3EDB2E4F" w14:textId="77777777" w:rsidR="005C5ABF" w:rsidRPr="005E206B" w:rsidRDefault="005C5ABF" w:rsidP="005C5ABF">
      <w:pPr>
        <w:spacing w:before="120" w:after="120" w:line="340" w:lineRule="atLeast"/>
        <w:ind w:firstLine="709"/>
        <w:jc w:val="both"/>
        <w:rPr>
          <w:lang w:val="vi-VN"/>
        </w:rPr>
      </w:pPr>
      <w:r w:rsidRPr="005E206B">
        <w:rPr>
          <w:b/>
          <w:bCs/>
          <w:lang w:val="vi-VN"/>
        </w:rPr>
        <w:t>V. BỐ CỤC VÀ NỘI DUNG CƠ BẢN CỦA DỰ THẢO VĂN BẢN</w:t>
      </w:r>
    </w:p>
    <w:p w14:paraId="798C66FC" w14:textId="77777777" w:rsidR="005C5ABF" w:rsidRPr="005E206B" w:rsidRDefault="005C5ABF" w:rsidP="005C5ABF">
      <w:pPr>
        <w:spacing w:before="120" w:after="120" w:line="340" w:lineRule="atLeast"/>
        <w:ind w:firstLine="709"/>
        <w:jc w:val="both"/>
        <w:rPr>
          <w:b/>
          <w:bCs/>
          <w:lang w:val="vi-VN"/>
        </w:rPr>
      </w:pPr>
      <w:r w:rsidRPr="005E206B">
        <w:rPr>
          <w:b/>
          <w:bCs/>
          <w:lang w:val="vi-VN"/>
        </w:rPr>
        <w:t>1. Bố cục</w:t>
      </w:r>
    </w:p>
    <w:p w14:paraId="1A57CD08" w14:textId="77777777" w:rsidR="005C5ABF" w:rsidRPr="005E206B" w:rsidRDefault="005C5ABF" w:rsidP="005C5ABF">
      <w:pPr>
        <w:spacing w:before="120" w:after="120" w:line="340" w:lineRule="atLeast"/>
        <w:ind w:firstLine="709"/>
        <w:jc w:val="both"/>
        <w:rPr>
          <w:lang w:val="nl-NL"/>
        </w:rPr>
      </w:pPr>
      <w:r w:rsidRPr="005E206B">
        <w:rPr>
          <w:lang w:val="nl-NL"/>
        </w:rPr>
        <w:t>Dự thảo Thông tư gồm 6 chương, 16 điều:</w:t>
      </w:r>
    </w:p>
    <w:p w14:paraId="35616C92" w14:textId="77777777" w:rsidR="005C5ABF" w:rsidRPr="005E206B" w:rsidRDefault="005C5ABF" w:rsidP="005C5ABF">
      <w:pPr>
        <w:spacing w:before="120" w:after="120" w:line="340" w:lineRule="atLeast"/>
        <w:ind w:firstLine="709"/>
        <w:jc w:val="both"/>
        <w:rPr>
          <w:b/>
          <w:bCs/>
        </w:rPr>
      </w:pPr>
      <w:r w:rsidRPr="005E206B">
        <w:rPr>
          <w:b/>
          <w:bCs/>
          <w:lang w:val="nl-NL"/>
        </w:rPr>
        <w:t xml:space="preserve"> Chương I:</w:t>
      </w:r>
      <w:r w:rsidRPr="005E206B">
        <w:rPr>
          <w:b/>
          <w:bCs/>
        </w:rPr>
        <w:t xml:space="preserve"> Quy định chung (gồm 02 Điều)</w:t>
      </w:r>
    </w:p>
    <w:p w14:paraId="758EED82" w14:textId="77777777" w:rsidR="005C5ABF" w:rsidRPr="005E206B" w:rsidRDefault="005C5ABF" w:rsidP="005C5ABF">
      <w:pPr>
        <w:spacing w:before="120" w:after="120" w:line="340" w:lineRule="atLeast"/>
        <w:ind w:firstLine="709"/>
        <w:jc w:val="both"/>
        <w:rPr>
          <w:lang w:val="nl-NL"/>
        </w:rPr>
      </w:pPr>
      <w:r w:rsidRPr="005E206B">
        <w:rPr>
          <w:lang w:val="nl-NL"/>
        </w:rPr>
        <w:t xml:space="preserve">- Điều 1: Phạm vi điều chỉnh  </w:t>
      </w:r>
    </w:p>
    <w:p w14:paraId="073A9794" w14:textId="77777777" w:rsidR="005C5ABF" w:rsidRPr="005E206B" w:rsidRDefault="005C5ABF" w:rsidP="005C5ABF">
      <w:pPr>
        <w:spacing w:before="120" w:after="120" w:line="340" w:lineRule="atLeast"/>
        <w:ind w:firstLine="709"/>
        <w:jc w:val="both"/>
        <w:rPr>
          <w:lang w:val="nl-NL"/>
        </w:rPr>
      </w:pPr>
      <w:r w:rsidRPr="005E206B">
        <w:rPr>
          <w:lang w:val="nl-NL"/>
        </w:rPr>
        <w:t>- Điều 2: Đối tượng áp dụng.</w:t>
      </w:r>
    </w:p>
    <w:p w14:paraId="6DD5CC46" w14:textId="77777777" w:rsidR="005C5ABF" w:rsidRPr="005E206B" w:rsidRDefault="005C5ABF" w:rsidP="005C5ABF">
      <w:pPr>
        <w:spacing w:before="120" w:after="120" w:line="340" w:lineRule="atLeast"/>
        <w:ind w:firstLine="709"/>
        <w:jc w:val="both"/>
        <w:rPr>
          <w:b/>
          <w:bCs/>
          <w:lang w:val="nl-NL"/>
        </w:rPr>
      </w:pPr>
      <w:r w:rsidRPr="005E206B">
        <w:rPr>
          <w:b/>
          <w:bCs/>
          <w:lang w:val="nl-NL"/>
        </w:rPr>
        <w:lastRenderedPageBreak/>
        <w:t xml:space="preserve"> Chương II: Giám định viên tư pháp, người giám định tư pháp theo vụ việc trong lĩnh vực kế hoạch và đầu tư (gồm 05 Điều)  </w:t>
      </w:r>
    </w:p>
    <w:p w14:paraId="3E0A8C85" w14:textId="77777777" w:rsidR="005C5ABF" w:rsidRPr="005E206B" w:rsidRDefault="005C5ABF" w:rsidP="005C5ABF">
      <w:pPr>
        <w:spacing w:before="120" w:after="120" w:line="340" w:lineRule="atLeast"/>
        <w:ind w:firstLine="709"/>
        <w:jc w:val="both"/>
        <w:rPr>
          <w:b/>
          <w:bCs/>
          <w:lang w:val="nl-NL"/>
        </w:rPr>
      </w:pPr>
      <w:r w:rsidRPr="005E206B">
        <w:rPr>
          <w:lang w:val="nl-NL"/>
        </w:rPr>
        <w:t>- Điều 3: Tiêu chuẩn bổ nhiệm giám định viên tư pháp</w:t>
      </w:r>
    </w:p>
    <w:p w14:paraId="35BDA428" w14:textId="77777777" w:rsidR="005C5ABF" w:rsidRPr="005E206B" w:rsidRDefault="005C5ABF" w:rsidP="005C5ABF">
      <w:pPr>
        <w:spacing w:before="120" w:after="120" w:line="340" w:lineRule="atLeast"/>
        <w:ind w:firstLine="709"/>
        <w:jc w:val="both"/>
        <w:rPr>
          <w:b/>
          <w:bCs/>
          <w:lang w:val="nl-NL"/>
        </w:rPr>
      </w:pPr>
      <w:r w:rsidRPr="005E206B">
        <w:rPr>
          <w:lang w:val="nl-NL"/>
        </w:rPr>
        <w:t>- Điều 4: Hồ sơ, trình tự, thủ tục bổ nhiệm, cấp thẻ giám định viên tư pháp</w:t>
      </w:r>
    </w:p>
    <w:p w14:paraId="474F6434" w14:textId="77777777" w:rsidR="005C5ABF" w:rsidRPr="005E206B" w:rsidRDefault="005C5ABF" w:rsidP="005C5ABF">
      <w:pPr>
        <w:spacing w:before="120" w:after="120" w:line="340" w:lineRule="atLeast"/>
        <w:ind w:firstLine="709"/>
        <w:jc w:val="both"/>
        <w:rPr>
          <w:lang w:val="nl-NL"/>
        </w:rPr>
      </w:pPr>
      <w:r w:rsidRPr="005E206B">
        <w:rPr>
          <w:lang w:val="nl-NL"/>
        </w:rPr>
        <w:t>- Điều 5: Miễn nhiệm và thu hồi giám định viên tư pháp</w:t>
      </w:r>
    </w:p>
    <w:p w14:paraId="4BC3F848" w14:textId="77777777" w:rsidR="005C5ABF" w:rsidRPr="005E206B" w:rsidRDefault="005C5ABF" w:rsidP="005C5ABF">
      <w:pPr>
        <w:spacing w:before="120" w:after="120" w:line="340" w:lineRule="atLeast"/>
        <w:ind w:firstLine="709"/>
        <w:jc w:val="both"/>
        <w:rPr>
          <w:lang w:val="nl-NL"/>
        </w:rPr>
      </w:pPr>
      <w:r w:rsidRPr="005E206B">
        <w:rPr>
          <w:lang w:val="nl-NL"/>
        </w:rPr>
        <w:t>- Điều 6: Người giám định, tổ chức giám định tư pháp theo vụ việc</w:t>
      </w:r>
    </w:p>
    <w:p w14:paraId="3818B062" w14:textId="77777777" w:rsidR="005C5ABF" w:rsidRPr="005E206B" w:rsidRDefault="005C5ABF" w:rsidP="005C5ABF">
      <w:pPr>
        <w:spacing w:before="120" w:after="120" w:line="340" w:lineRule="atLeast"/>
        <w:ind w:firstLine="709"/>
        <w:jc w:val="both"/>
      </w:pPr>
      <w:r w:rsidRPr="005E206B">
        <w:rPr>
          <w:lang w:val="nl-NL"/>
        </w:rPr>
        <w:t xml:space="preserve">- Điều 7: </w:t>
      </w:r>
      <w:r w:rsidRPr="005E206B">
        <w:rPr>
          <w:bCs/>
          <w:spacing w:val="-4"/>
          <w:lang w:val="vi-VN"/>
        </w:rPr>
        <w:t>Lập, công nhận và đăng tải danh sách người giám định tư pháp theo vụ việc, tổ chức giám định tư pháp theo vụ việc trong lĩnh vực kế hoạch và đầu tư</w:t>
      </w:r>
      <w:r w:rsidRPr="005E206B">
        <w:rPr>
          <w:bCs/>
          <w:spacing w:val="-4"/>
        </w:rPr>
        <w:t>.</w:t>
      </w:r>
    </w:p>
    <w:p w14:paraId="26336B5B" w14:textId="77777777" w:rsidR="005C5ABF" w:rsidRPr="005E206B" w:rsidRDefault="005C5ABF" w:rsidP="005C5ABF">
      <w:pPr>
        <w:spacing w:before="120" w:after="120" w:line="340" w:lineRule="atLeast"/>
        <w:ind w:firstLine="709"/>
        <w:jc w:val="both"/>
        <w:rPr>
          <w:b/>
          <w:bCs/>
          <w:lang w:val="nl-NL"/>
        </w:rPr>
      </w:pPr>
      <w:r w:rsidRPr="005E206B">
        <w:rPr>
          <w:b/>
          <w:bCs/>
          <w:lang w:val="nl-NL"/>
        </w:rPr>
        <w:t>Chương III: Lựa chọn cá nhân, tổ chức giám định tư pháp; quy trình giám định tư pháp và thời hạn giám định tư pháp trong lĩnh vực kế hoạch và đầu tư (gồm 03 Điều)</w:t>
      </w:r>
    </w:p>
    <w:p w14:paraId="1DAA4E0A" w14:textId="77777777" w:rsidR="005C5ABF" w:rsidRPr="005E206B" w:rsidRDefault="005C5ABF" w:rsidP="005C5ABF">
      <w:pPr>
        <w:spacing w:before="120" w:after="120" w:line="340" w:lineRule="atLeast"/>
        <w:ind w:firstLine="709"/>
        <w:jc w:val="both"/>
        <w:rPr>
          <w:lang w:val="nl-NL"/>
        </w:rPr>
      </w:pPr>
      <w:r w:rsidRPr="005E206B">
        <w:rPr>
          <w:b/>
          <w:bCs/>
          <w:lang w:val="nl-NL"/>
        </w:rPr>
        <w:t xml:space="preserve">- </w:t>
      </w:r>
      <w:r w:rsidRPr="005E206B">
        <w:rPr>
          <w:lang w:val="nl-NL"/>
        </w:rPr>
        <w:t>Điều 8. Lựa chọn cá nhân, tổ chức thực hiện giám định tư pháp</w:t>
      </w:r>
    </w:p>
    <w:p w14:paraId="29809027" w14:textId="77777777" w:rsidR="005C5ABF" w:rsidRPr="005E206B" w:rsidRDefault="005C5ABF" w:rsidP="005C5ABF">
      <w:pPr>
        <w:spacing w:before="120" w:after="120" w:line="340" w:lineRule="atLeast"/>
        <w:ind w:firstLine="709"/>
        <w:jc w:val="both"/>
        <w:rPr>
          <w:lang w:val="nl-NL"/>
        </w:rPr>
      </w:pPr>
      <w:r w:rsidRPr="005E206B">
        <w:rPr>
          <w:lang w:val="nl-NL"/>
        </w:rPr>
        <w:t>- Điều 9. Quy trình thực hiện giám định tư pháp</w:t>
      </w:r>
    </w:p>
    <w:p w14:paraId="4426FCB0" w14:textId="77777777" w:rsidR="005C5ABF" w:rsidRPr="005E206B" w:rsidRDefault="005C5ABF" w:rsidP="005C5ABF">
      <w:pPr>
        <w:spacing w:before="120" w:after="120" w:line="340" w:lineRule="atLeast"/>
        <w:ind w:firstLine="709"/>
        <w:jc w:val="both"/>
        <w:rPr>
          <w:lang w:val="nl-NL"/>
        </w:rPr>
      </w:pPr>
      <w:r w:rsidRPr="005E206B">
        <w:rPr>
          <w:lang w:val="nl-NL"/>
        </w:rPr>
        <w:t>- Điều 10. Giám định bổ sung, giám định lại và thành lập Hội đồng giám định tư pháp</w:t>
      </w:r>
    </w:p>
    <w:p w14:paraId="26B8C195" w14:textId="77777777" w:rsidR="005C5ABF" w:rsidRPr="005E206B" w:rsidRDefault="005C5ABF" w:rsidP="005C5ABF">
      <w:pPr>
        <w:spacing w:before="120" w:after="120" w:line="340" w:lineRule="atLeast"/>
        <w:ind w:firstLine="709"/>
        <w:jc w:val="both"/>
        <w:rPr>
          <w:b/>
          <w:bCs/>
          <w:lang w:val="nl-NL"/>
        </w:rPr>
      </w:pPr>
      <w:r w:rsidRPr="005E206B">
        <w:rPr>
          <w:b/>
          <w:bCs/>
          <w:lang w:val="nl-NL"/>
        </w:rPr>
        <w:t xml:space="preserve"> Chương IV: Áp dụng quy chuẩn, tiêu chuẩn chuyên môn trong hoạt động giám định tư pháp và chi phí thực hiện giám định tư pháp trong lĩnh vực kế hoạch và đầu tư (gồm 02 Điều)</w:t>
      </w:r>
    </w:p>
    <w:p w14:paraId="18E73C36" w14:textId="77777777" w:rsidR="005C5ABF" w:rsidRPr="005E206B" w:rsidRDefault="005C5ABF" w:rsidP="005C5ABF">
      <w:pPr>
        <w:spacing w:before="120" w:after="120" w:line="340" w:lineRule="atLeast"/>
        <w:ind w:firstLine="709"/>
        <w:jc w:val="both"/>
        <w:rPr>
          <w:bCs/>
          <w:lang w:val="nl-NL"/>
        </w:rPr>
      </w:pPr>
      <w:r w:rsidRPr="005E206B">
        <w:rPr>
          <w:b/>
          <w:bCs/>
          <w:lang w:val="nl-NL"/>
        </w:rPr>
        <w:t xml:space="preserve">- </w:t>
      </w:r>
      <w:r w:rsidRPr="005E206B">
        <w:rPr>
          <w:bCs/>
          <w:lang w:val="nl-NL"/>
        </w:rPr>
        <w:t>Điều 11. Áp dụng quy chuẩn chuyên môn trong hoạt động giám định tư pháp trong lĩnh vực kế hoạch và đầu tư</w:t>
      </w:r>
    </w:p>
    <w:p w14:paraId="79FD973D" w14:textId="77777777" w:rsidR="005C5ABF" w:rsidRPr="005E206B" w:rsidRDefault="005C5ABF" w:rsidP="005C5ABF">
      <w:pPr>
        <w:spacing w:before="120" w:after="120" w:line="340" w:lineRule="atLeast"/>
        <w:ind w:firstLine="709"/>
        <w:jc w:val="both"/>
        <w:rPr>
          <w:bCs/>
          <w:lang w:val="nl-NL"/>
        </w:rPr>
      </w:pPr>
      <w:r w:rsidRPr="005E206B">
        <w:rPr>
          <w:bCs/>
          <w:lang w:val="nl-NL"/>
        </w:rPr>
        <w:t>- Điều 12. Chi phí thực hiện giám định tư pháp trong lĩnh vực kế hoạch và đầu tư.</w:t>
      </w:r>
    </w:p>
    <w:p w14:paraId="10A00523" w14:textId="77777777" w:rsidR="005C5ABF" w:rsidRPr="005E206B" w:rsidRDefault="005C5ABF" w:rsidP="005C5ABF">
      <w:pPr>
        <w:spacing w:before="120" w:after="120" w:line="340" w:lineRule="atLeast"/>
        <w:ind w:firstLine="709"/>
        <w:jc w:val="both"/>
        <w:rPr>
          <w:b/>
          <w:bCs/>
          <w:spacing w:val="-4"/>
          <w:lang w:val="nl-NL"/>
        </w:rPr>
      </w:pPr>
      <w:r w:rsidRPr="005E206B">
        <w:rPr>
          <w:b/>
          <w:bCs/>
          <w:spacing w:val="-4"/>
          <w:lang w:val="nl-NL"/>
        </w:rPr>
        <w:t>Chương V: Trách nhiệm của tổ chức, cá nhân liên quan (gồm 02 Điều)</w:t>
      </w:r>
    </w:p>
    <w:p w14:paraId="65F1BA7F" w14:textId="77777777" w:rsidR="005C5ABF" w:rsidRPr="005E206B" w:rsidRDefault="005C5ABF" w:rsidP="005C5ABF">
      <w:pPr>
        <w:spacing w:before="120" w:after="120" w:line="340" w:lineRule="atLeast"/>
        <w:ind w:firstLine="709"/>
        <w:jc w:val="both"/>
        <w:rPr>
          <w:lang w:val="nl-NL"/>
        </w:rPr>
      </w:pPr>
      <w:r w:rsidRPr="005E206B">
        <w:rPr>
          <w:lang w:val="nl-NL"/>
        </w:rPr>
        <w:t xml:space="preserve">- Điều 13: </w:t>
      </w:r>
      <w:r w:rsidRPr="005E206B">
        <w:rPr>
          <w:bCs/>
          <w:iCs/>
        </w:rPr>
        <w:t>Trách nhiệm của các đơn vị thuộc Bộ Kế hoạch và Đầu tư</w:t>
      </w:r>
    </w:p>
    <w:p w14:paraId="058C8F7A" w14:textId="77777777" w:rsidR="005C5ABF" w:rsidRPr="005E206B" w:rsidRDefault="005C5ABF" w:rsidP="005C5ABF">
      <w:pPr>
        <w:spacing w:before="120" w:after="120" w:line="340" w:lineRule="atLeast"/>
        <w:ind w:firstLine="709"/>
        <w:jc w:val="both"/>
        <w:rPr>
          <w:lang w:val="nl-NL"/>
        </w:rPr>
      </w:pPr>
      <w:r w:rsidRPr="005E206B">
        <w:rPr>
          <w:lang w:val="nl-NL"/>
        </w:rPr>
        <w:t xml:space="preserve">- Điều 14: </w:t>
      </w:r>
      <w:r w:rsidRPr="005E206B">
        <w:rPr>
          <w:bCs/>
          <w:iCs/>
        </w:rPr>
        <w:t>Trách nhiệm của Sở Kế hoạch và Đầu tư</w:t>
      </w:r>
    </w:p>
    <w:p w14:paraId="7C690007" w14:textId="77777777" w:rsidR="005C5ABF" w:rsidRPr="005E206B" w:rsidRDefault="005C5ABF" w:rsidP="005C5ABF">
      <w:pPr>
        <w:spacing w:before="120" w:after="120" w:line="340" w:lineRule="atLeast"/>
        <w:ind w:firstLine="709"/>
        <w:jc w:val="both"/>
        <w:rPr>
          <w:lang w:val="nl-NL"/>
        </w:rPr>
      </w:pPr>
      <w:r w:rsidRPr="005E206B">
        <w:rPr>
          <w:b/>
          <w:bCs/>
          <w:lang w:val="nl-NL"/>
        </w:rPr>
        <w:t>Chương VI: ĐIỀU KHOẢN THI HÀNH</w:t>
      </w:r>
    </w:p>
    <w:p w14:paraId="6332FC09" w14:textId="77777777" w:rsidR="005C5ABF" w:rsidRPr="005E206B" w:rsidRDefault="005C5ABF" w:rsidP="005C5ABF">
      <w:pPr>
        <w:spacing w:before="120" w:after="120" w:line="340" w:lineRule="atLeast"/>
        <w:ind w:firstLine="709"/>
        <w:jc w:val="both"/>
        <w:rPr>
          <w:lang w:val="nl-NL"/>
        </w:rPr>
      </w:pPr>
      <w:r w:rsidRPr="005E206B">
        <w:rPr>
          <w:lang w:val="nl-NL"/>
        </w:rPr>
        <w:t>- Điều 15: Quy định chuyển tiếp</w:t>
      </w:r>
    </w:p>
    <w:p w14:paraId="35FBC9E6" w14:textId="77777777" w:rsidR="005C5ABF" w:rsidRPr="005E206B" w:rsidRDefault="005C5ABF" w:rsidP="005C5ABF">
      <w:pPr>
        <w:spacing w:before="120" w:after="120" w:line="340" w:lineRule="atLeast"/>
        <w:ind w:firstLine="709"/>
        <w:jc w:val="both"/>
        <w:rPr>
          <w:lang w:val="nl-NL"/>
        </w:rPr>
      </w:pPr>
      <w:r w:rsidRPr="005E206B">
        <w:rPr>
          <w:lang w:val="nl-NL"/>
        </w:rPr>
        <w:t>- Điều 16: Hiệu lực thi hành.</w:t>
      </w:r>
    </w:p>
    <w:p w14:paraId="177D5439" w14:textId="77777777" w:rsidR="005C5ABF" w:rsidRPr="005E206B" w:rsidRDefault="005C5ABF" w:rsidP="005C5ABF">
      <w:pPr>
        <w:spacing w:before="120" w:after="120" w:line="340" w:lineRule="atLeast"/>
        <w:ind w:firstLine="709"/>
        <w:jc w:val="both"/>
        <w:rPr>
          <w:lang w:val="vi-VN"/>
        </w:rPr>
      </w:pPr>
      <w:r w:rsidRPr="005E206B">
        <w:rPr>
          <w:b/>
          <w:bCs/>
          <w:lang w:val="vi-VN"/>
        </w:rPr>
        <w:t>2. Nội dung cơ bản của dự thảo văn bản</w:t>
      </w:r>
    </w:p>
    <w:p w14:paraId="3E14D61D" w14:textId="77777777" w:rsidR="005C5ABF" w:rsidRPr="005E206B" w:rsidRDefault="005C5ABF" w:rsidP="005C5ABF">
      <w:pPr>
        <w:spacing w:before="120" w:after="120" w:line="340" w:lineRule="atLeast"/>
        <w:ind w:firstLine="709"/>
        <w:jc w:val="both"/>
        <w:rPr>
          <w:lang w:val="sv-SE"/>
        </w:rPr>
      </w:pPr>
      <w:r w:rsidRPr="005E206B">
        <w:rPr>
          <w:bCs/>
          <w:i/>
          <w:iCs/>
          <w:lang w:val="nl-NL"/>
        </w:rPr>
        <w:t>2.1. Về phạm vi điều chỉnh (Điều 1):</w:t>
      </w:r>
      <w:r w:rsidRPr="005E206B">
        <w:rPr>
          <w:lang w:val="nl-NL"/>
        </w:rPr>
        <w:t xml:space="preserve"> Đã ghép </w:t>
      </w:r>
      <w:r w:rsidRPr="005E206B">
        <w:rPr>
          <w:lang w:val="vi-VN"/>
        </w:rPr>
        <w:t xml:space="preserve">Thông tư số </w:t>
      </w:r>
      <w:r w:rsidRPr="005E206B">
        <w:rPr>
          <w:lang w:val="sv-SE"/>
        </w:rPr>
        <w:t xml:space="preserve">07/2014/TT-BKHĐT ngày 24/11/2014 và </w:t>
      </w:r>
      <w:r w:rsidRPr="005E206B">
        <w:rPr>
          <w:lang w:val="vi-VN"/>
        </w:rPr>
        <w:t xml:space="preserve">Thông tư số </w:t>
      </w:r>
      <w:r w:rsidRPr="005E206B">
        <w:rPr>
          <w:lang w:val="sv-SE"/>
        </w:rPr>
        <w:t>12/2015/TT-BKHĐT ngày 27/10/2015 để bảo đảm hướng dẫn đầy đủ nội dung được giao</w:t>
      </w:r>
      <w:r w:rsidRPr="005E206B">
        <w:rPr>
          <w:lang w:val="vi-VN"/>
        </w:rPr>
        <w:t xml:space="preserve"> </w:t>
      </w:r>
      <w:r w:rsidRPr="005E206B">
        <w:t xml:space="preserve">tại </w:t>
      </w:r>
      <w:r w:rsidRPr="005E206B">
        <w:rPr>
          <w:lang w:val="vi-VN"/>
        </w:rPr>
        <w:t xml:space="preserve">Luật </w:t>
      </w:r>
      <w:r w:rsidRPr="005E206B">
        <w:t>Giám định tư pháp</w:t>
      </w:r>
      <w:r w:rsidRPr="005E206B">
        <w:rPr>
          <w:lang w:val="sv-SE"/>
        </w:rPr>
        <w:t xml:space="preserve">. Theo đó, </w:t>
      </w:r>
      <w:r w:rsidRPr="005E206B">
        <w:rPr>
          <w:lang w:val="vi-VN"/>
        </w:rPr>
        <w:t xml:space="preserve">dự thảo Thông tư </w:t>
      </w:r>
      <w:r w:rsidRPr="005E206B">
        <w:t xml:space="preserve">đã quy định </w:t>
      </w:r>
      <w:r w:rsidRPr="005E206B">
        <w:rPr>
          <w:lang w:val="sv-SE"/>
        </w:rPr>
        <w:t xml:space="preserve">gồm các nội dung: </w:t>
      </w:r>
      <w:r w:rsidRPr="005E206B">
        <w:rPr>
          <w:i/>
          <w:spacing w:val="-4"/>
        </w:rPr>
        <w:t xml:space="preserve">về tiêu chuẩn, hồ sơ, trình tự, thủ tục bổ nhiệm, miễn nhiệm giám định viên tư pháp và việc cấp, thu hồi thẻ giám định viên tư pháp; lập, công bố và đăng tải danh sách giám định viên tư </w:t>
      </w:r>
      <w:r w:rsidRPr="005E206B">
        <w:rPr>
          <w:i/>
          <w:spacing w:val="-4"/>
        </w:rPr>
        <w:lastRenderedPageBreak/>
        <w:t xml:space="preserve">pháp theo vụ việc, người giám định tư pháp, tổ chức giám định tư pháp theo vụ việc; quy chuẩn, tiêu chuẩn chuyên môn, </w:t>
      </w:r>
      <w:r w:rsidRPr="005E206B">
        <w:rPr>
          <w:bCs/>
          <w:i/>
          <w:spacing w:val="-4"/>
        </w:rPr>
        <w:t>quy trình thực hiện giám định tư pháp trong lĩnh vực kế hoạch và đầu tư;</w:t>
      </w:r>
      <w:r w:rsidRPr="005E206B">
        <w:rPr>
          <w:i/>
          <w:spacing w:val="-4"/>
        </w:rPr>
        <w:t xml:space="preserve"> tiếp nhận trưng cầu giám định tư pháp; hồ sơ, kết luận giám định tư pháp; thủ tục cử người tham gia giám định tư pháp</w:t>
      </w:r>
      <w:r w:rsidRPr="005E206B">
        <w:rPr>
          <w:i/>
          <w:iCs/>
          <w:spacing w:val="-4"/>
        </w:rPr>
        <w:t xml:space="preserve"> </w:t>
      </w:r>
      <w:r w:rsidRPr="005E206B">
        <w:rPr>
          <w:i/>
          <w:spacing w:val="-4"/>
        </w:rPr>
        <w:t xml:space="preserve">và các nội dung khác liên quan đến giám định tư pháp trong lĩnh vực kế hoạch và đầu tư </w:t>
      </w:r>
      <w:r w:rsidRPr="005E206B">
        <w:rPr>
          <w:bCs/>
          <w:i/>
          <w:spacing w:val="-4"/>
        </w:rPr>
        <w:t>theo quy định tại Điều 1 Nghị định số 89/2022/NĐ-CP ngày 28/10/2022 của Chính phủ quy định chức năng, nhiệm vụ, quyền hạn, cơ cấu tổ chức của Bộ Kế hoạch và Đầu tư</w:t>
      </w:r>
      <w:r w:rsidRPr="005E206B">
        <w:rPr>
          <w:lang w:val="sv-SE"/>
        </w:rPr>
        <w:t xml:space="preserve">. </w:t>
      </w:r>
    </w:p>
    <w:p w14:paraId="4066F458" w14:textId="77777777" w:rsidR="005C5ABF" w:rsidRPr="005E206B" w:rsidRDefault="005C5ABF" w:rsidP="005C5ABF">
      <w:pPr>
        <w:spacing w:before="120" w:after="120" w:line="340" w:lineRule="atLeast"/>
        <w:ind w:firstLine="709"/>
        <w:jc w:val="both"/>
        <w:rPr>
          <w:bCs/>
          <w:i/>
          <w:iCs/>
          <w:lang w:val="sv-SE"/>
        </w:rPr>
      </w:pPr>
      <w:r w:rsidRPr="005E206B">
        <w:rPr>
          <w:bCs/>
          <w:i/>
          <w:iCs/>
          <w:lang w:val="sv-SE"/>
        </w:rPr>
        <w:t xml:space="preserve">2.2. Về tiêu chuẩn bổ nhiệm giám định viên tư pháp (Điều 3): </w:t>
      </w:r>
    </w:p>
    <w:p w14:paraId="48B8BDB1" w14:textId="77777777" w:rsidR="005C5ABF" w:rsidRPr="005E206B" w:rsidRDefault="005C5ABF" w:rsidP="005C5ABF">
      <w:pPr>
        <w:pStyle w:val="oancuaDanhsach"/>
        <w:tabs>
          <w:tab w:val="left" w:pos="567"/>
        </w:tabs>
        <w:spacing w:before="120" w:after="120" w:line="340" w:lineRule="atLeast"/>
        <w:ind w:left="0" w:firstLine="709"/>
        <w:jc w:val="both"/>
      </w:pPr>
      <w:r w:rsidRPr="005E206B">
        <w:t>Dự thảo dẫn chiếu áp dụng tiêu chuẩn quy định tại Điều 7 Luật Giám định tư pháp năm 2012; Dự thảo có kế thừa khoản 1 và có quy định chi tiết (khoản 2, khoản 3) về tiêu chuẩn được xem xét bổ nhiệm giám định viên tư pháp trong lĩnh vực kế hoạch và đầu tư theo đúng nội dung Điều 7 Luật Giám định tư pháp đã giao hướng dẫn.</w:t>
      </w:r>
    </w:p>
    <w:p w14:paraId="72521474" w14:textId="77777777" w:rsidR="005C5ABF" w:rsidRPr="005E206B" w:rsidRDefault="005C5ABF" w:rsidP="005C5ABF">
      <w:pPr>
        <w:pStyle w:val="oancuaDanhsach"/>
        <w:tabs>
          <w:tab w:val="left" w:pos="567"/>
        </w:tabs>
        <w:spacing w:before="120" w:after="120" w:line="340" w:lineRule="atLeast"/>
        <w:ind w:left="0" w:firstLine="709"/>
        <w:jc w:val="both"/>
        <w:rPr>
          <w:i/>
        </w:rPr>
      </w:pPr>
      <w:r w:rsidRPr="005E206B">
        <w:rPr>
          <w:i/>
        </w:rPr>
        <w:t xml:space="preserve">2.3. </w:t>
      </w:r>
      <w:r w:rsidRPr="005E206B">
        <w:rPr>
          <w:bCs/>
          <w:i/>
          <w:iCs/>
          <w:lang w:val="sv-SE"/>
        </w:rPr>
        <w:t>Hồ sơ, trình tự, thủ tục bổ nhiệm, cấp thẻ giám định viên tư pháp</w:t>
      </w:r>
      <w:r w:rsidRPr="005E206B">
        <w:rPr>
          <w:i/>
        </w:rPr>
        <w:t xml:space="preserve"> (Điều 4): </w:t>
      </w:r>
    </w:p>
    <w:p w14:paraId="51E78839" w14:textId="77777777" w:rsidR="005C5ABF" w:rsidRPr="005E206B" w:rsidRDefault="005C5ABF" w:rsidP="005C5ABF">
      <w:pPr>
        <w:spacing w:before="120" w:after="120" w:line="340" w:lineRule="atLeast"/>
        <w:ind w:firstLine="709"/>
        <w:jc w:val="both"/>
        <w:rPr>
          <w:spacing w:val="-4"/>
        </w:rPr>
      </w:pPr>
      <w:r w:rsidRPr="005E206B">
        <w:rPr>
          <w:spacing w:val="-4"/>
          <w:lang w:val="vi-VN"/>
        </w:rPr>
        <w:t>- Dự thảo thay đổi về bố cục so với thông tư 07: Quy định về hồ sơ lên trước nội dung về trình tự, thủ tục bổ nhiệm</w:t>
      </w:r>
      <w:r w:rsidRPr="005E206B">
        <w:rPr>
          <w:spacing w:val="-4"/>
        </w:rPr>
        <w:t xml:space="preserve"> để thuận tiện trong áp dụng</w:t>
      </w:r>
      <w:r w:rsidRPr="005E206B">
        <w:rPr>
          <w:spacing w:val="-4"/>
          <w:lang w:val="vi-VN"/>
        </w:rPr>
        <w:t>.</w:t>
      </w:r>
      <w:r w:rsidRPr="005E206B">
        <w:rPr>
          <w:spacing w:val="-4"/>
        </w:rPr>
        <w:t xml:space="preserve"> </w:t>
      </w:r>
    </w:p>
    <w:p w14:paraId="3A61C3B5" w14:textId="77777777" w:rsidR="005C5ABF" w:rsidRPr="005E206B" w:rsidRDefault="005C5ABF" w:rsidP="005C5ABF">
      <w:pPr>
        <w:spacing w:before="120" w:after="120" w:line="340" w:lineRule="atLeast"/>
        <w:ind w:firstLine="709"/>
        <w:jc w:val="both"/>
        <w:rPr>
          <w:spacing w:val="-4"/>
        </w:rPr>
      </w:pPr>
      <w:r w:rsidRPr="005E206B">
        <w:rPr>
          <w:spacing w:val="-4"/>
        </w:rPr>
        <w:t xml:space="preserve">- Dẫn chiếu áp dụng về thành phần hồ sơ </w:t>
      </w:r>
      <w:r w:rsidRPr="005E206B">
        <w:rPr>
          <w:spacing w:val="-4"/>
          <w:lang w:val="vi-VN"/>
        </w:rPr>
        <w:t>quy định tại Điều 8 Luật Giám định tư pháp</w:t>
      </w:r>
      <w:r w:rsidRPr="005E206B">
        <w:rPr>
          <w:spacing w:val="-4"/>
        </w:rPr>
        <w:t xml:space="preserve">. Mặt khác, có bổ sung quy định </w:t>
      </w:r>
      <w:r w:rsidRPr="005E206B">
        <w:rPr>
          <w:spacing w:val="-4"/>
          <w:lang w:val="vi-VN"/>
        </w:rPr>
        <w:t>02 ảnh chân dung cỡ 2cm x 3cm</w:t>
      </w:r>
      <w:r w:rsidRPr="005E206B">
        <w:rPr>
          <w:spacing w:val="-4"/>
        </w:rPr>
        <w:t xml:space="preserve"> theo quy định tại </w:t>
      </w:r>
      <w:r w:rsidRPr="005E206B">
        <w:rPr>
          <w:bCs/>
          <w:iCs/>
          <w:spacing w:val="-4"/>
          <w:lang w:val="vi-VN"/>
        </w:rPr>
        <w:t xml:space="preserve">Thông tư số 11/2020/TT-BTP </w:t>
      </w:r>
      <w:r w:rsidRPr="005E206B">
        <w:rPr>
          <w:spacing w:val="-4"/>
        </w:rPr>
        <w:t xml:space="preserve">để khi được bổ nhiệm thì sẽ làm thẻ cho giám định viên mà không cần thêm thủ tục khác bảo đảm thuận tiện khi triển khai. </w:t>
      </w:r>
    </w:p>
    <w:p w14:paraId="539DB7CA" w14:textId="77777777" w:rsidR="005C5ABF" w:rsidRPr="005E206B" w:rsidRDefault="005C5ABF" w:rsidP="005C5ABF">
      <w:pPr>
        <w:pStyle w:val="oancuaDanhsach"/>
        <w:tabs>
          <w:tab w:val="left" w:pos="567"/>
        </w:tabs>
        <w:spacing w:before="120" w:after="120" w:line="340" w:lineRule="atLeast"/>
        <w:ind w:left="0" w:firstLine="709"/>
        <w:jc w:val="both"/>
        <w:rPr>
          <w:bCs/>
          <w:i/>
          <w:iCs/>
          <w:spacing w:val="-4"/>
        </w:rPr>
      </w:pPr>
      <w:r w:rsidRPr="005E206B">
        <w:t xml:space="preserve">- Làm rõ về trình tự thủ tục bổ nhiệm giám định viên tư pháp so với </w:t>
      </w:r>
      <w:r w:rsidRPr="005E206B">
        <w:rPr>
          <w:iCs/>
          <w:spacing w:val="-4"/>
          <w:lang w:val="vi-VN"/>
        </w:rPr>
        <w:t>Thông tư số 07/2014/TT-BKHĐT</w:t>
      </w:r>
      <w:r w:rsidRPr="005E206B">
        <w:rPr>
          <w:iCs/>
          <w:spacing w:val="-4"/>
        </w:rPr>
        <w:t>, theo đó, quy định “</w:t>
      </w:r>
      <w:r w:rsidRPr="005E206B">
        <w:rPr>
          <w:bCs/>
          <w:i/>
          <w:iCs/>
          <w:spacing w:val="-4"/>
          <w:lang w:val="vi-VN"/>
        </w:rPr>
        <w:t>Vụ Pháp chế gửi văn bản đề nghị cơ quan, đơn vị trực thuộc Bộ Kế hoạch và Đầu tư lựa chọn người có đủ tiêu chuẩn quy định</w:t>
      </w:r>
      <w:r w:rsidRPr="005E206B">
        <w:rPr>
          <w:bCs/>
          <w:i/>
          <w:iCs/>
          <w:spacing w:val="-4"/>
        </w:rPr>
        <w:t>….</w:t>
      </w:r>
      <w:r w:rsidRPr="005E206B">
        <w:rPr>
          <w:bCs/>
          <w:iCs/>
          <w:spacing w:val="-4"/>
        </w:rPr>
        <w:t>” sau đó “</w:t>
      </w:r>
      <w:r w:rsidRPr="005E206B">
        <w:rPr>
          <w:bCs/>
          <w:i/>
          <w:iCs/>
          <w:spacing w:val="-4"/>
          <w:lang w:val="vi-VN"/>
        </w:rPr>
        <w:t>Người đứng đầu cơ quan, đơn vị trực thuộc Bộ Kế hoạch và Đầu tư lựa chọn người có đủ tiêu chuẩn quy định tại Điều 3 Thông tư này, lập 01 (một) bộ hồ sơ đề nghị bổ nhiệm giám định viên tư pháp…”</w:t>
      </w:r>
      <w:r w:rsidRPr="005E206B">
        <w:rPr>
          <w:bCs/>
          <w:iCs/>
          <w:spacing w:val="-4"/>
        </w:rPr>
        <w:t>.</w:t>
      </w:r>
      <w:r w:rsidRPr="005E206B">
        <w:rPr>
          <w:bCs/>
          <w:i/>
          <w:iCs/>
          <w:spacing w:val="-4"/>
        </w:rPr>
        <w:t xml:space="preserve"> </w:t>
      </w:r>
    </w:p>
    <w:p w14:paraId="64A0B3B2" w14:textId="77777777" w:rsidR="005C5ABF" w:rsidRPr="005E206B" w:rsidRDefault="005C5ABF" w:rsidP="005C5ABF">
      <w:pPr>
        <w:pStyle w:val="oancuaDanhsach"/>
        <w:tabs>
          <w:tab w:val="left" w:pos="567"/>
        </w:tabs>
        <w:spacing w:before="120" w:after="120" w:line="340" w:lineRule="atLeast"/>
        <w:ind w:left="0" w:firstLine="709"/>
        <w:jc w:val="both"/>
        <w:rPr>
          <w:lang w:val="vi-VN"/>
        </w:rPr>
      </w:pPr>
      <w:r w:rsidRPr="005E206B">
        <w:rPr>
          <w:lang w:val="vi-VN"/>
        </w:rPr>
        <w:t>- Bổ sung quy định về đăng tải trên Cổng thông tin điện tử của Bộ Kế hoạch và Đầu tư, đồng thời gửi Bộ Tư pháp để tổng hợp vào danh sách chung theo quy định (</w:t>
      </w:r>
      <w:r w:rsidRPr="005E206B">
        <w:rPr>
          <w:i/>
          <w:lang w:val="vi-VN"/>
        </w:rPr>
        <w:t>để bảo đảm theo đúng quy định tại khoản 3 Điều 9 Luật GĐTP</w:t>
      </w:r>
      <w:r w:rsidRPr="005E206B">
        <w:rPr>
          <w:lang w:val="vi-VN"/>
        </w:rPr>
        <w:t>).</w:t>
      </w:r>
    </w:p>
    <w:p w14:paraId="041AA269" w14:textId="77777777" w:rsidR="005C5ABF" w:rsidRPr="005E206B" w:rsidRDefault="005C5ABF" w:rsidP="005C5ABF">
      <w:pPr>
        <w:pStyle w:val="oancuaDanhsach"/>
        <w:tabs>
          <w:tab w:val="left" w:pos="567"/>
        </w:tabs>
        <w:spacing w:before="120" w:after="120" w:line="340" w:lineRule="atLeast"/>
        <w:ind w:left="0" w:firstLine="709"/>
        <w:jc w:val="both"/>
        <w:rPr>
          <w:bCs/>
          <w:i/>
        </w:rPr>
      </w:pPr>
      <w:r w:rsidRPr="005E206B">
        <w:rPr>
          <w:iCs/>
          <w:spacing w:val="-4"/>
        </w:rPr>
        <w:t xml:space="preserve">- Bổ sung nội dung về </w:t>
      </w:r>
      <w:r w:rsidRPr="005E206B">
        <w:rPr>
          <w:spacing w:val="-4"/>
          <w:lang w:val="vi-VN"/>
        </w:rPr>
        <w:t xml:space="preserve">Mẫu thẻ, trình tự, thủ tục cấp mới, cấp lại thẻ giám định viên tư pháp được thực hiện theo quy định </w:t>
      </w:r>
      <w:r w:rsidRPr="005E206B">
        <w:rPr>
          <w:bCs/>
          <w:iCs/>
          <w:spacing w:val="-4"/>
          <w:lang w:val="vi-VN"/>
        </w:rPr>
        <w:t>tại Thông tư số 11/2020/TT-BTP ngày 31/12/2020</w:t>
      </w:r>
      <w:r w:rsidRPr="005E206B">
        <w:rPr>
          <w:spacing w:val="-4"/>
          <w:lang w:val="vi-VN"/>
        </w:rPr>
        <w:t xml:space="preserve"> của Bộ trưởng Bộ Tư pháp quy định về mẫu thẻ, trình tự, thủ tục cấp mới, cấp lại thẻ giám định viên tư pháp</w:t>
      </w:r>
      <w:r w:rsidRPr="005E206B">
        <w:rPr>
          <w:spacing w:val="-4"/>
        </w:rPr>
        <w:t xml:space="preserve">, do Thông tư </w:t>
      </w:r>
      <w:r w:rsidRPr="005E206B">
        <w:rPr>
          <w:bCs/>
          <w:iCs/>
          <w:spacing w:val="-4"/>
          <w:lang w:val="vi-VN"/>
        </w:rPr>
        <w:t>Thông tư số 11/2020/TT-BTP</w:t>
      </w:r>
      <w:r w:rsidRPr="005E206B">
        <w:rPr>
          <w:bCs/>
          <w:iCs/>
          <w:spacing w:val="-4"/>
        </w:rPr>
        <w:t xml:space="preserve"> mới được ban hành để áp dụng thống nhất theo quy định.</w:t>
      </w:r>
    </w:p>
    <w:p w14:paraId="0CD55B75" w14:textId="77777777" w:rsidR="005C5ABF" w:rsidRPr="005E206B" w:rsidRDefault="005C5ABF" w:rsidP="005C5ABF">
      <w:pPr>
        <w:pStyle w:val="oancuaDanhsach"/>
        <w:tabs>
          <w:tab w:val="left" w:pos="567"/>
        </w:tabs>
        <w:spacing w:before="120" w:after="120" w:line="340" w:lineRule="atLeast"/>
        <w:ind w:left="0" w:firstLine="709"/>
        <w:jc w:val="both"/>
        <w:rPr>
          <w:bCs/>
          <w:i/>
        </w:rPr>
      </w:pPr>
      <w:r w:rsidRPr="005E206B">
        <w:rPr>
          <w:bCs/>
          <w:i/>
        </w:rPr>
        <w:t>2.4. Miễn nhiệm và thu hồi thẻ giám định viên tư pháp (Điều 5)</w:t>
      </w:r>
    </w:p>
    <w:p w14:paraId="70224BA7" w14:textId="77777777" w:rsidR="005C5ABF" w:rsidRPr="005E206B" w:rsidRDefault="005C5ABF" w:rsidP="005C5ABF">
      <w:pPr>
        <w:pStyle w:val="oancuaDanhsach"/>
        <w:tabs>
          <w:tab w:val="left" w:pos="567"/>
        </w:tabs>
        <w:spacing w:before="120" w:after="120" w:line="340" w:lineRule="atLeast"/>
        <w:ind w:left="0" w:firstLine="709"/>
        <w:jc w:val="both"/>
        <w:rPr>
          <w:iCs/>
          <w:spacing w:val="-4"/>
        </w:rPr>
      </w:pPr>
      <w:r w:rsidRPr="005E206B">
        <w:t xml:space="preserve">- </w:t>
      </w:r>
      <w:r w:rsidRPr="005E206B">
        <w:rPr>
          <w:iCs/>
          <w:spacing w:val="-4"/>
        </w:rPr>
        <w:t xml:space="preserve">Kế thừa quy định về các </w:t>
      </w:r>
      <w:r w:rsidRPr="005E206B">
        <w:rPr>
          <w:spacing w:val="-4"/>
          <w:lang w:val="vi-VN"/>
        </w:rPr>
        <w:t xml:space="preserve">trường hợp miễn nhiệm, hồ sơ đề nghị miễn nhiệm giám định viên tư pháp </w:t>
      </w:r>
      <w:r w:rsidRPr="005E206B">
        <w:rPr>
          <w:spacing w:val="-4"/>
        </w:rPr>
        <w:t xml:space="preserve">tại </w:t>
      </w:r>
      <w:r w:rsidRPr="005E206B">
        <w:rPr>
          <w:iCs/>
          <w:spacing w:val="-4"/>
          <w:lang w:val="vi-VN"/>
        </w:rPr>
        <w:t>Thông tư số 07/2014/TT-BKHĐT</w:t>
      </w:r>
      <w:r w:rsidRPr="005E206B">
        <w:rPr>
          <w:iCs/>
          <w:spacing w:val="-4"/>
        </w:rPr>
        <w:t xml:space="preserve">. </w:t>
      </w:r>
    </w:p>
    <w:p w14:paraId="6EBD2FB0" w14:textId="77777777" w:rsidR="005C5ABF" w:rsidRPr="005E206B" w:rsidRDefault="005C5ABF" w:rsidP="005C5ABF">
      <w:pPr>
        <w:pStyle w:val="oancuaDanhsach"/>
        <w:spacing w:before="120" w:after="120" w:line="340" w:lineRule="atLeast"/>
        <w:ind w:left="0" w:firstLine="720"/>
        <w:rPr>
          <w:spacing w:val="-4"/>
          <w:lang w:val="vi-VN"/>
        </w:rPr>
      </w:pPr>
      <w:r w:rsidRPr="005E206B">
        <w:rPr>
          <w:spacing w:val="-4"/>
          <w:lang w:val="vi-VN"/>
        </w:rPr>
        <w:t xml:space="preserve">- Thông tư số 07/2014/TT-BKHĐT không quy định rõ trình tự, thủ tục miễn nhiệm, thu hồi thẻ giám định viên tư pháp.  </w:t>
      </w:r>
    </w:p>
    <w:p w14:paraId="6ADB7409" w14:textId="77777777" w:rsidR="005C5ABF" w:rsidRPr="005E206B" w:rsidRDefault="005C5ABF" w:rsidP="005C5ABF">
      <w:pPr>
        <w:pStyle w:val="oancuaDanhsach"/>
        <w:spacing w:before="120" w:after="120" w:line="340" w:lineRule="atLeast"/>
        <w:ind w:left="0" w:firstLine="720"/>
        <w:jc w:val="both"/>
        <w:rPr>
          <w:iCs/>
          <w:spacing w:val="-4"/>
        </w:rPr>
      </w:pPr>
      <w:r w:rsidRPr="005E206B">
        <w:rPr>
          <w:iCs/>
          <w:spacing w:val="-4"/>
          <w:lang w:val="vi-VN"/>
        </w:rPr>
        <w:lastRenderedPageBreak/>
        <w:t>- Tại dự thảo đã quy định rõ trình tự, thủ tục miễn nhiệm giám định viên tư pháp, theo đó quy định “</w:t>
      </w:r>
      <w:r w:rsidRPr="005E206B">
        <w:rPr>
          <w:i/>
          <w:iCs/>
          <w:spacing w:val="-4"/>
          <w:lang w:val="vi-VN"/>
        </w:rPr>
        <w:t>Người đứng đầu cơ quan, đơn vị trực thuộc Bộ Kế hoạch và Đầu tư rà soát, lập hồ sơ đề nghị miễn nhiệm giám định viên tư pháp theo quy định tại khoản 1 Điều này gửi Vụ Tổ chức cán bộ</w:t>
      </w:r>
      <w:r w:rsidRPr="005E206B">
        <w:rPr>
          <w:i/>
          <w:iCs/>
          <w:spacing w:val="-4"/>
        </w:rPr>
        <w:t>……</w:t>
      </w:r>
      <w:r w:rsidRPr="005E206B">
        <w:rPr>
          <w:iCs/>
          <w:spacing w:val="-4"/>
          <w:lang w:val="vi-VN"/>
        </w:rPr>
        <w:t>”</w:t>
      </w:r>
      <w:r w:rsidRPr="005E206B">
        <w:rPr>
          <w:spacing w:val="-4"/>
        </w:rPr>
        <w:t>.</w:t>
      </w:r>
    </w:p>
    <w:p w14:paraId="7FFF7C45" w14:textId="77777777" w:rsidR="005C5ABF" w:rsidRPr="005E206B" w:rsidRDefault="005C5ABF" w:rsidP="005C5ABF">
      <w:pPr>
        <w:spacing w:before="120" w:after="120" w:line="340" w:lineRule="atLeast"/>
        <w:ind w:firstLine="709"/>
        <w:jc w:val="both"/>
        <w:rPr>
          <w:spacing w:val="-4"/>
          <w:lang w:val="vi-VN"/>
        </w:rPr>
      </w:pPr>
      <w:r w:rsidRPr="005E206B">
        <w:rPr>
          <w:spacing w:val="-4"/>
        </w:rPr>
        <w:t xml:space="preserve">- </w:t>
      </w:r>
      <w:r w:rsidRPr="005E206B">
        <w:rPr>
          <w:spacing w:val="-4"/>
          <w:lang w:val="vi-VN"/>
        </w:rPr>
        <w:t xml:space="preserve">Bổ sung quy định về thời hạn xử lý hồ sơ để miễn nhiệm và bổ sung </w:t>
      </w:r>
      <w:r w:rsidRPr="005E206B">
        <w:rPr>
          <w:spacing w:val="-4"/>
        </w:rPr>
        <w:t xml:space="preserve">về </w:t>
      </w:r>
      <w:r w:rsidRPr="005E206B">
        <w:rPr>
          <w:spacing w:val="-4"/>
          <w:lang w:val="vi-VN"/>
        </w:rPr>
        <w:t>đăng tải trên Cổng thông tin điện tử của Bộ, đồng thời gửi Bộ Tư pháp để điều chỉnh danh sách chung về giám định viên tư pháp theo quy định, bảo đảm theo đúng khoản 4 Điều 10 Luật Giám định tư pháp.</w:t>
      </w:r>
    </w:p>
    <w:p w14:paraId="074F5EC7" w14:textId="77777777" w:rsidR="005C5ABF" w:rsidRPr="005E206B" w:rsidRDefault="005C5ABF" w:rsidP="005C5ABF">
      <w:pPr>
        <w:spacing w:before="120" w:after="120" w:line="340" w:lineRule="atLeast"/>
        <w:ind w:firstLine="709"/>
        <w:jc w:val="both"/>
        <w:rPr>
          <w:spacing w:val="-4"/>
        </w:rPr>
      </w:pPr>
      <w:r w:rsidRPr="005E206B">
        <w:rPr>
          <w:spacing w:val="-4"/>
        </w:rPr>
        <w:t>- Quy định rõ hơn về t</w:t>
      </w:r>
      <w:r w:rsidRPr="005E206B">
        <w:rPr>
          <w:spacing w:val="-4"/>
          <w:lang w:val="vi-VN"/>
        </w:rPr>
        <w:t>rình tự, thủ tục miễn nhiệm, thu hồi thẻ giám định viên tư pháp tại địa phương</w:t>
      </w:r>
      <w:r w:rsidRPr="005E206B">
        <w:rPr>
          <w:spacing w:val="-4"/>
        </w:rPr>
        <w:t>.</w:t>
      </w:r>
    </w:p>
    <w:p w14:paraId="0AF3A794" w14:textId="77777777" w:rsidR="005C5ABF" w:rsidRPr="005E206B" w:rsidRDefault="005C5ABF" w:rsidP="005C5ABF">
      <w:pPr>
        <w:pStyle w:val="oancuaDanhsach"/>
        <w:tabs>
          <w:tab w:val="left" w:pos="567"/>
        </w:tabs>
        <w:spacing w:before="120" w:after="120" w:line="340" w:lineRule="atLeast"/>
        <w:ind w:left="0" w:firstLine="709"/>
        <w:jc w:val="both"/>
        <w:rPr>
          <w:i/>
        </w:rPr>
      </w:pPr>
      <w:r w:rsidRPr="005E206B">
        <w:rPr>
          <w:bCs/>
          <w:i/>
          <w:spacing w:val="-4"/>
        </w:rPr>
        <w:t>2.5. Lập và công nhận danh sách người giám định tư pháp theo vụ việc, tổ chức giám định tư pháp theo vụ việc trong lĩnh vực kế hoạch và đầu tư (Điều 7)</w:t>
      </w:r>
    </w:p>
    <w:p w14:paraId="40707D7B" w14:textId="77777777" w:rsidR="005C5ABF" w:rsidRPr="005E206B" w:rsidRDefault="005C5ABF" w:rsidP="005C5ABF">
      <w:pPr>
        <w:spacing w:before="120" w:after="120" w:line="340" w:lineRule="atLeast"/>
        <w:ind w:firstLine="709"/>
        <w:jc w:val="both"/>
        <w:rPr>
          <w:spacing w:val="-4"/>
        </w:rPr>
      </w:pPr>
      <w:r w:rsidRPr="005E206B">
        <w:rPr>
          <w:spacing w:val="-4"/>
          <w:lang w:val="vi-VN"/>
        </w:rPr>
        <w:t xml:space="preserve">Dự thảo </w:t>
      </w:r>
      <w:r w:rsidRPr="005E206B">
        <w:rPr>
          <w:spacing w:val="-4"/>
        </w:rPr>
        <w:t xml:space="preserve">có kế thừa một số nội dung tại Điều 6 </w:t>
      </w:r>
      <w:r w:rsidRPr="005E206B">
        <w:rPr>
          <w:iCs/>
          <w:spacing w:val="-4"/>
          <w:lang w:val="vi-VN"/>
        </w:rPr>
        <w:t>Thông tư số 07/2014/TT-BKHĐT</w:t>
      </w:r>
      <w:r w:rsidRPr="005E206B">
        <w:rPr>
          <w:spacing w:val="-4"/>
        </w:rPr>
        <w:t xml:space="preserve">. Bên cạnh đó, </w:t>
      </w:r>
      <w:r w:rsidRPr="005E206B">
        <w:rPr>
          <w:spacing w:val="-4"/>
          <w:lang w:val="vi-VN"/>
        </w:rPr>
        <w:t xml:space="preserve">đã </w:t>
      </w:r>
      <w:r w:rsidRPr="005E206B">
        <w:rPr>
          <w:spacing w:val="-4"/>
        </w:rPr>
        <w:t>quy định</w:t>
      </w:r>
      <w:r w:rsidRPr="005E206B">
        <w:rPr>
          <w:spacing w:val="-4"/>
          <w:lang w:val="vi-VN"/>
        </w:rPr>
        <w:t xml:space="preserve"> theo hướng bổ sung quy định rõ trình tự thực hiện tại Bộ Kế hoạch và Đầu tư và tại địa phương và trách nhiệm của các đơn vị trong việc l</w:t>
      </w:r>
      <w:r w:rsidRPr="005E206B">
        <w:rPr>
          <w:bCs/>
          <w:spacing w:val="-4"/>
          <w:lang w:val="vi-VN"/>
        </w:rPr>
        <w:t>ập, công nhận và đăng tải danh sách người giám định tư pháp theo vụ việc, tổ chức giám định tư pháp theo vụ việc trong lĩnh vực kế hoạch và đầu tư</w:t>
      </w:r>
      <w:r w:rsidRPr="005E206B">
        <w:rPr>
          <w:spacing w:val="-4"/>
          <w:lang w:val="vi-VN"/>
        </w:rPr>
        <w:t xml:space="preserve"> và thuận tiện trong áp dụng văn bản</w:t>
      </w:r>
      <w:r w:rsidRPr="005E206B">
        <w:rPr>
          <w:spacing w:val="-4"/>
        </w:rPr>
        <w:t>.</w:t>
      </w:r>
    </w:p>
    <w:p w14:paraId="368AB1AC" w14:textId="77777777" w:rsidR="005C5ABF" w:rsidRPr="005E206B" w:rsidRDefault="005C5ABF" w:rsidP="005C5ABF">
      <w:pPr>
        <w:spacing w:before="120" w:after="120" w:line="340" w:lineRule="atLeast"/>
        <w:ind w:firstLine="709"/>
        <w:jc w:val="both"/>
        <w:rPr>
          <w:bCs/>
          <w:i/>
        </w:rPr>
      </w:pPr>
      <w:r w:rsidRPr="005E206B">
        <w:rPr>
          <w:bCs/>
          <w:i/>
        </w:rPr>
        <w:t>2.6. Lựa chọn cá nhân, tổ chức thực hiện giám định tư pháp (Điều 8)</w:t>
      </w:r>
    </w:p>
    <w:p w14:paraId="01CEF319" w14:textId="77777777" w:rsidR="005C5ABF" w:rsidRPr="005E206B" w:rsidRDefault="005C5ABF" w:rsidP="005C5ABF">
      <w:pPr>
        <w:spacing w:before="120" w:after="120" w:line="340" w:lineRule="atLeast"/>
        <w:ind w:firstLine="709"/>
        <w:jc w:val="both"/>
        <w:rPr>
          <w:spacing w:val="-4"/>
          <w:lang w:val="vi-VN"/>
        </w:rPr>
      </w:pPr>
      <w:r w:rsidRPr="005E206B">
        <w:rPr>
          <w:iCs/>
          <w:spacing w:val="-4"/>
          <w:lang w:val="vi-VN"/>
        </w:rPr>
        <w:t xml:space="preserve">Bổ sung nội dung hướng dẫn về </w:t>
      </w:r>
      <w:r w:rsidRPr="005E206B">
        <w:rPr>
          <w:spacing w:val="-4"/>
          <w:lang w:val="vi-VN"/>
        </w:rPr>
        <w:t>lựa chọn cá nhân, tổ chức giám định tư pháp</w:t>
      </w:r>
      <w:r w:rsidRPr="005E206B">
        <w:rPr>
          <w:iCs/>
          <w:spacing w:val="-4"/>
          <w:lang w:val="vi-VN"/>
        </w:rPr>
        <w:t xml:space="preserve"> để rõ các trường hợp, rõ trình tự thực hiện nhằm hướng dẫn cụ th</w:t>
      </w:r>
      <w:r w:rsidRPr="005E206B">
        <w:rPr>
          <w:iCs/>
          <w:spacing w:val="-4"/>
        </w:rPr>
        <w:t>ể</w:t>
      </w:r>
      <w:r w:rsidRPr="005E206B">
        <w:rPr>
          <w:iCs/>
          <w:spacing w:val="-4"/>
          <w:lang w:val="vi-VN"/>
        </w:rPr>
        <w:t xml:space="preserve">  Điều </w:t>
      </w:r>
      <w:r w:rsidRPr="005E206B">
        <w:rPr>
          <w:spacing w:val="-4"/>
          <w:lang w:val="vi-VN"/>
        </w:rPr>
        <w:t>20 Luật Giám định tư pháp.</w:t>
      </w:r>
    </w:p>
    <w:p w14:paraId="7B50B0DD" w14:textId="77777777" w:rsidR="005C5ABF" w:rsidRPr="005E206B" w:rsidRDefault="005C5ABF" w:rsidP="005C5ABF">
      <w:pPr>
        <w:spacing w:before="120" w:after="120" w:line="340" w:lineRule="atLeast"/>
        <w:ind w:firstLine="709"/>
        <w:jc w:val="both"/>
        <w:rPr>
          <w:spacing w:val="-4"/>
          <w:lang w:val="vi-VN"/>
        </w:rPr>
      </w:pPr>
      <w:r w:rsidRPr="005E206B">
        <w:rPr>
          <w:iCs/>
          <w:spacing w:val="-4"/>
          <w:lang w:val="vi-VN"/>
        </w:rPr>
        <w:t xml:space="preserve">Thông tư số 07/2014/TT-BKHĐT và Thông tư số 12/2015/TT-BKHĐT không quy định nên </w:t>
      </w:r>
      <w:r w:rsidRPr="005E206B">
        <w:rPr>
          <w:iCs/>
          <w:spacing w:val="-4"/>
        </w:rPr>
        <w:t>khó khăn khi</w:t>
      </w:r>
      <w:r w:rsidRPr="005E206B">
        <w:rPr>
          <w:iCs/>
          <w:spacing w:val="-4"/>
          <w:lang w:val="vi-VN"/>
        </w:rPr>
        <w:t xml:space="preserve"> thực hiện </w:t>
      </w:r>
      <w:r w:rsidRPr="005E206B">
        <w:rPr>
          <w:spacing w:val="-4"/>
          <w:lang w:val="vi-VN"/>
        </w:rPr>
        <w:t>lựa chọn cá nhân, tổ chức giám định tư pháp</w:t>
      </w:r>
      <w:r w:rsidRPr="005E206B">
        <w:rPr>
          <w:spacing w:val="-4"/>
        </w:rPr>
        <w:t>. Mặt khác,</w:t>
      </w:r>
      <w:r w:rsidRPr="005E206B">
        <w:rPr>
          <w:spacing w:val="-4"/>
          <w:lang w:val="vi-VN"/>
        </w:rPr>
        <w:t xml:space="preserve"> </w:t>
      </w:r>
      <w:r w:rsidRPr="005E206B">
        <w:rPr>
          <w:iCs/>
          <w:spacing w:val="-4"/>
          <w:lang w:val="vi-VN"/>
        </w:rPr>
        <w:t xml:space="preserve">Điều </w:t>
      </w:r>
      <w:r w:rsidRPr="005E206B">
        <w:rPr>
          <w:spacing w:val="-4"/>
          <w:lang w:val="vi-VN"/>
        </w:rPr>
        <w:t>20 Luật Giám định tư pháp cũng quy định chung, để áp dụng cụ thể thì các bộ ngành cần hướng dẫn để áp dụng theo thực tế của ngành mình.</w:t>
      </w:r>
    </w:p>
    <w:p w14:paraId="619E03A0" w14:textId="77777777" w:rsidR="005C5ABF" w:rsidRPr="005E206B" w:rsidRDefault="005C5ABF" w:rsidP="005C5ABF">
      <w:pPr>
        <w:spacing w:before="120" w:after="120" w:line="340" w:lineRule="atLeast"/>
        <w:ind w:firstLine="709"/>
        <w:jc w:val="both"/>
        <w:rPr>
          <w:bCs/>
          <w:i/>
        </w:rPr>
      </w:pPr>
      <w:r w:rsidRPr="005E206B">
        <w:rPr>
          <w:bCs/>
          <w:i/>
        </w:rPr>
        <w:t>2.7. Quy trình thực hiện giám định tư pháp (Điều 9)</w:t>
      </w:r>
    </w:p>
    <w:p w14:paraId="05FDECEB" w14:textId="77777777" w:rsidR="005C5ABF" w:rsidRPr="005E206B" w:rsidRDefault="005C5ABF" w:rsidP="005C5ABF">
      <w:pPr>
        <w:spacing w:before="120" w:after="120" w:line="340" w:lineRule="atLeast"/>
        <w:ind w:firstLine="709"/>
        <w:jc w:val="both"/>
        <w:rPr>
          <w:iCs/>
          <w:spacing w:val="-4"/>
          <w:lang w:val="vi-VN"/>
        </w:rPr>
      </w:pPr>
      <w:r w:rsidRPr="005E206B">
        <w:rPr>
          <w:iCs/>
          <w:spacing w:val="-4"/>
          <w:lang w:val="vi-VN"/>
        </w:rPr>
        <w:t xml:space="preserve">- Tại Thông tư số 12/2015/TT-BKHĐT đã quy định </w:t>
      </w:r>
      <w:r w:rsidRPr="005E206B">
        <w:rPr>
          <w:iCs/>
          <w:spacing w:val="-4"/>
        </w:rPr>
        <w:t xml:space="preserve">sơ lược </w:t>
      </w:r>
      <w:r w:rsidRPr="005E206B">
        <w:rPr>
          <w:iCs/>
          <w:spacing w:val="-4"/>
          <w:lang w:val="vi-VN"/>
        </w:rPr>
        <w:t>về trình tự thực hiện, nhưng không rõ thời hạn, trình tự thực hiện cử giám định viên tư pháp, nên trong quá trình thực hiện gặp khó khăn.</w:t>
      </w:r>
      <w:r w:rsidRPr="005E206B">
        <w:rPr>
          <w:iCs/>
          <w:spacing w:val="-4"/>
        </w:rPr>
        <w:t xml:space="preserve"> Tại dự thảo Thông tư đ</w:t>
      </w:r>
      <w:r w:rsidRPr="005E206B">
        <w:rPr>
          <w:iCs/>
          <w:spacing w:val="-4"/>
          <w:lang w:val="vi-VN"/>
        </w:rPr>
        <w:t xml:space="preserve">ã </w:t>
      </w:r>
      <w:r w:rsidRPr="005E206B">
        <w:rPr>
          <w:iCs/>
          <w:spacing w:val="-4"/>
        </w:rPr>
        <w:t>quy định</w:t>
      </w:r>
      <w:r w:rsidRPr="005E206B">
        <w:rPr>
          <w:iCs/>
          <w:spacing w:val="-4"/>
          <w:lang w:val="vi-VN"/>
        </w:rPr>
        <w:t xml:space="preserve"> rõ về trình tự, thủ tục trong quy trình, bao gồm</w:t>
      </w:r>
      <w:r w:rsidRPr="005E206B">
        <w:rPr>
          <w:iCs/>
          <w:spacing w:val="-4"/>
        </w:rPr>
        <w:t xml:space="preserve">: </w:t>
      </w:r>
      <w:r w:rsidRPr="005E206B">
        <w:t>Tiếp nhận trưng cầu và đối tượng giám định; chuẩn bị giám định; thực hiện giám định; kết luận giám định; bàn giao kết luận giám định; lập hồ sơ, lưu giữ hồ sơ giám định.</w:t>
      </w:r>
      <w:r w:rsidRPr="005E206B">
        <w:rPr>
          <w:iCs/>
          <w:spacing w:val="-4"/>
          <w:lang w:val="vi-VN"/>
        </w:rPr>
        <w:t xml:space="preserve"> </w:t>
      </w:r>
    </w:p>
    <w:p w14:paraId="79769409" w14:textId="77777777" w:rsidR="005C5ABF" w:rsidRPr="005E206B" w:rsidRDefault="005C5ABF" w:rsidP="005C5ABF">
      <w:pPr>
        <w:spacing w:before="120" w:after="120" w:line="340" w:lineRule="atLeast"/>
        <w:ind w:firstLine="709"/>
        <w:jc w:val="both"/>
        <w:rPr>
          <w:bCs/>
          <w:spacing w:val="-4"/>
          <w:lang w:val="vi-VN"/>
        </w:rPr>
      </w:pPr>
      <w:r w:rsidRPr="005E206B">
        <w:rPr>
          <w:iCs/>
          <w:spacing w:val="-4"/>
        </w:rPr>
        <w:t xml:space="preserve">- Bên cạnh đó, đã </w:t>
      </w:r>
      <w:r w:rsidRPr="005E206B">
        <w:rPr>
          <w:iCs/>
          <w:spacing w:val="-4"/>
          <w:lang w:val="vi-VN"/>
        </w:rPr>
        <w:t>cụ thể hóa các bước thực hiện và quy định rõ thời gian thực hiện, rõ trách nhiệm của các đơn vị liên quan</w:t>
      </w:r>
      <w:r w:rsidRPr="005E206B">
        <w:rPr>
          <w:iCs/>
          <w:spacing w:val="-4"/>
        </w:rPr>
        <w:t xml:space="preserve"> và có điều chỉnh theo hương “</w:t>
      </w:r>
      <w:r w:rsidRPr="005E206B">
        <w:rPr>
          <w:bCs/>
          <w:i/>
          <w:spacing w:val="-4"/>
          <w:lang w:val="vi-VN"/>
        </w:rPr>
        <w:t>Vụ Pháp chế tổng hợp, trình Bộ trưởng cho ý kiến về việc cử giám định viên tư pháp, đồng thời gửi Vụ Tổ chức cán bộ để thực hiện theo chỉ đạo của Bộ trưởng, làm thủ tục ban hành Quyết định cử người giám định tư pháp theo quy định</w:t>
      </w:r>
      <w:r w:rsidRPr="005E206B">
        <w:rPr>
          <w:bCs/>
          <w:spacing w:val="-4"/>
          <w:lang w:val="vi-VN"/>
        </w:rPr>
        <w:t xml:space="preserve">” là quy định mới, nhắm giảm bớt một khâu nhằm đơn giản hóa, rút ngắn thời gian thực hiện ra quyết định cử </w:t>
      </w:r>
      <w:r w:rsidRPr="005E206B">
        <w:rPr>
          <w:bCs/>
          <w:spacing w:val="-4"/>
          <w:lang w:val="vi-VN"/>
        </w:rPr>
        <w:lastRenderedPageBreak/>
        <w:t>người (</w:t>
      </w:r>
      <w:r w:rsidRPr="005E206B">
        <w:rPr>
          <w:bCs/>
          <w:i/>
          <w:spacing w:val="-4"/>
          <w:lang w:val="vi-VN"/>
        </w:rPr>
        <w:t>trước đây, Vụ Pháp chế gửi Vụ Tổ chức cán bộ, Vụ Tổ chức cán bộ xin ý kiến Bộ trưởng</w:t>
      </w:r>
      <w:r w:rsidRPr="005E206B">
        <w:rPr>
          <w:bCs/>
          <w:spacing w:val="-4"/>
          <w:lang w:val="vi-VN"/>
        </w:rPr>
        <w:t>”.</w:t>
      </w:r>
    </w:p>
    <w:p w14:paraId="551A24F7" w14:textId="77777777" w:rsidR="005C5ABF" w:rsidRPr="005E206B" w:rsidRDefault="005C5ABF" w:rsidP="005C5ABF">
      <w:pPr>
        <w:spacing w:before="120" w:after="120" w:line="340" w:lineRule="atLeast"/>
        <w:ind w:firstLine="709"/>
        <w:jc w:val="both"/>
      </w:pPr>
      <w:r w:rsidRPr="005E206B">
        <w:t>- Dự thảo đã biên tập cụ thể hóa các bước thực hiện và quy định rõ thời gian thực hiện, rõ trách nhiệm của các đơn vị liên quan.</w:t>
      </w:r>
    </w:p>
    <w:p w14:paraId="6708EFC5" w14:textId="77777777" w:rsidR="005C5ABF" w:rsidRPr="005E206B" w:rsidRDefault="005C5ABF" w:rsidP="005C5ABF">
      <w:pPr>
        <w:spacing w:before="120" w:after="120" w:line="340" w:lineRule="atLeast"/>
        <w:ind w:firstLine="709"/>
        <w:jc w:val="both"/>
      </w:pPr>
      <w:r w:rsidRPr="005E206B">
        <w:t>- Bổ sung trường hợp người trưng cầu giám định trực tiếp các Đơn vị của Bộ thì các Đơn vị trực tiếp tham mưu ban hành quyết định cử giám định viên để phù hợp với thực tế và thuận lợi trong triển khai.</w:t>
      </w:r>
    </w:p>
    <w:p w14:paraId="5CE342D0" w14:textId="77777777" w:rsidR="005C5ABF" w:rsidRPr="005E206B" w:rsidRDefault="005C5ABF" w:rsidP="005C5ABF">
      <w:pPr>
        <w:spacing w:before="120" w:after="120" w:line="340" w:lineRule="atLeast"/>
        <w:ind w:firstLine="709"/>
        <w:jc w:val="both"/>
      </w:pPr>
      <w:r w:rsidRPr="005E206B">
        <w:t>- Kế thừa quy định về Kết luận giám định tại Thông tư số 12/2015/TT-BKHĐT và có hiệu chỉnh để rõ nội dung. Bên cạnh đó có bổ sung Mẫu Biên bản bàn giao kết luận giám định (Phụ lục IV) và mẫu Biên bản bàn giao kết luận giám định (Phụ lục V) để bảo đảm thực hiện thống nhất, thuận tiện áp dụng.</w:t>
      </w:r>
    </w:p>
    <w:p w14:paraId="15871522" w14:textId="77777777" w:rsidR="005C5ABF" w:rsidRPr="005E206B" w:rsidRDefault="005C5ABF" w:rsidP="005C5ABF">
      <w:pPr>
        <w:spacing w:before="120" w:after="120" w:line="340" w:lineRule="atLeast"/>
        <w:ind w:firstLine="709"/>
        <w:jc w:val="both"/>
      </w:pPr>
      <w:r w:rsidRPr="005E206B">
        <w:t>- Kế thừa quy định về hồ sơ giám định tư pháp tại Thông tư số 12/2015/TT-BKHĐT và có quy định cụ thể hơn và rõ trách nhiệm về hồ sơ và lưu trữ hồ sơ giám định tư pháp bảo đảm theo quy định tại Điều 27 Luật giám định tư pháp.</w:t>
      </w:r>
    </w:p>
    <w:p w14:paraId="7A427E95" w14:textId="77777777" w:rsidR="005C5ABF" w:rsidRPr="005E206B" w:rsidRDefault="005C5ABF" w:rsidP="005C5ABF">
      <w:pPr>
        <w:spacing w:before="120" w:after="120" w:line="340" w:lineRule="atLeast"/>
        <w:ind w:firstLine="709"/>
        <w:jc w:val="both"/>
        <w:rPr>
          <w:bCs/>
          <w:i/>
        </w:rPr>
      </w:pPr>
      <w:r w:rsidRPr="005E206B">
        <w:rPr>
          <w:bCs/>
          <w:i/>
        </w:rPr>
        <w:t>2.8. Giám định bổ sung, giám định lại và thành lập Hội đồng giám định tư pháp (Điều 10)</w:t>
      </w:r>
    </w:p>
    <w:p w14:paraId="63FF1409" w14:textId="77777777" w:rsidR="005C5ABF" w:rsidRPr="005E206B" w:rsidRDefault="005C5ABF" w:rsidP="005C5ABF">
      <w:pPr>
        <w:spacing w:before="120" w:after="120" w:line="340" w:lineRule="atLeast"/>
        <w:ind w:firstLine="709"/>
        <w:jc w:val="both"/>
        <w:rPr>
          <w:spacing w:val="-4"/>
          <w:lang w:val="nl-NL"/>
        </w:rPr>
      </w:pPr>
      <w:r w:rsidRPr="005E206B">
        <w:t xml:space="preserve">Dự thảo </w:t>
      </w:r>
      <w:r w:rsidRPr="005E206B">
        <w:rPr>
          <w:spacing w:val="-4"/>
          <w:lang w:val="vi-VN"/>
        </w:rPr>
        <w:t>đã</w:t>
      </w:r>
      <w:r w:rsidRPr="005E206B">
        <w:rPr>
          <w:spacing w:val="-4"/>
          <w:lang w:val="nl-NL"/>
        </w:rPr>
        <w:t xml:space="preserve"> kế thừa quy định tại Điều 6 Thông tư số 12/2015/TT-BKHĐT và</w:t>
      </w:r>
      <w:r w:rsidRPr="005E206B">
        <w:rPr>
          <w:spacing w:val="-4"/>
          <w:lang w:val="vi-VN"/>
        </w:rPr>
        <w:t xml:space="preserve"> </w:t>
      </w:r>
      <w:r w:rsidRPr="005E206B">
        <w:rPr>
          <w:spacing w:val="-4"/>
        </w:rPr>
        <w:t xml:space="preserve">có </w:t>
      </w:r>
      <w:r w:rsidRPr="005E206B">
        <w:rPr>
          <w:spacing w:val="-4"/>
          <w:lang w:val="nl-NL"/>
        </w:rPr>
        <w:t xml:space="preserve">làm rõ quy định về </w:t>
      </w:r>
      <w:r w:rsidRPr="005E206B">
        <w:rPr>
          <w:spacing w:val="-4"/>
          <w:lang w:val="vi-VN"/>
        </w:rPr>
        <w:t xml:space="preserve">giám định bổ </w:t>
      </w:r>
      <w:r w:rsidRPr="005E206B">
        <w:rPr>
          <w:spacing w:val="-4"/>
          <w:lang w:val="nl-NL"/>
        </w:rPr>
        <w:t xml:space="preserve">sung, giám định lại theo Điều 29, 30 Luật Giám định tư pháp. </w:t>
      </w:r>
    </w:p>
    <w:p w14:paraId="4BB08B7D" w14:textId="77777777" w:rsidR="005C5ABF" w:rsidRPr="005E206B" w:rsidRDefault="005C5ABF" w:rsidP="005C5ABF">
      <w:pPr>
        <w:spacing w:before="120" w:after="120" w:line="340" w:lineRule="atLeast"/>
        <w:ind w:firstLine="709"/>
        <w:jc w:val="both"/>
        <w:rPr>
          <w:b/>
          <w:bCs/>
        </w:rPr>
      </w:pPr>
      <w:r w:rsidRPr="005E206B">
        <w:rPr>
          <w:bCs/>
          <w:i/>
        </w:rPr>
        <w:t>2.9. Chi phí thực hiện giám định tư pháp trong lĩnh vực kế hoạch và đầu tư (Điều 12)</w:t>
      </w:r>
    </w:p>
    <w:p w14:paraId="4EE41BAB" w14:textId="77777777" w:rsidR="005C5ABF" w:rsidRPr="005E206B" w:rsidRDefault="005C5ABF" w:rsidP="005C5ABF">
      <w:pPr>
        <w:spacing w:before="120" w:after="120" w:line="340" w:lineRule="atLeast"/>
        <w:ind w:firstLine="709"/>
        <w:jc w:val="both"/>
        <w:rPr>
          <w:bCs/>
          <w:i/>
        </w:rPr>
      </w:pPr>
      <w:r w:rsidRPr="005E206B">
        <w:t>Dự thảo đã bổ sung theo hướng dẫn chiếu áp dụng: Chi phí thực hiện</w:t>
      </w:r>
      <w:r w:rsidRPr="005E206B">
        <w:rPr>
          <w:b/>
          <w:bCs/>
        </w:rPr>
        <w:t xml:space="preserve"> </w:t>
      </w:r>
      <w:r w:rsidRPr="005E206B">
        <w:t>giám định tư pháp trong lĩnh vực kế hoạch và đầu tư được thực hiện theo quy định tại Điều 36 Luật Giám định tư pháp năm 2012 (</w:t>
      </w:r>
      <w:r w:rsidRPr="005E206B">
        <w:rPr>
          <w:i/>
        </w:rPr>
        <w:t>đã được sửa đổi, bổ sung tại Luật sửa đổi, bổ sung một số điều của Luật Giám định tư pháp năm 2020</w:t>
      </w:r>
      <w:r w:rsidRPr="005E206B">
        <w:t>).</w:t>
      </w:r>
    </w:p>
    <w:p w14:paraId="2006401F" w14:textId="77777777" w:rsidR="005C5ABF" w:rsidRPr="005E206B" w:rsidRDefault="005C5ABF" w:rsidP="005C5ABF">
      <w:pPr>
        <w:spacing w:before="120" w:after="120" w:line="340" w:lineRule="atLeast"/>
        <w:ind w:firstLine="709"/>
        <w:jc w:val="both"/>
        <w:rPr>
          <w:bCs/>
          <w:i/>
          <w:iCs/>
        </w:rPr>
      </w:pPr>
      <w:r w:rsidRPr="005E206B">
        <w:rPr>
          <w:bCs/>
          <w:i/>
        </w:rPr>
        <w:t xml:space="preserve">2.10. </w:t>
      </w:r>
      <w:r w:rsidRPr="005E206B">
        <w:rPr>
          <w:bCs/>
          <w:i/>
          <w:iCs/>
        </w:rPr>
        <w:t>Trách nhiệm của các đơn vị thuộc Bộ Kế hoạch và Đầu tư (Điều 15), Trách nhiệm của Sở Kế hoạch và Đầu tư (Điều 13, 14)</w:t>
      </w:r>
    </w:p>
    <w:p w14:paraId="2AD6A64D" w14:textId="77777777" w:rsidR="005C5ABF" w:rsidRPr="005E206B" w:rsidRDefault="005C5ABF" w:rsidP="005C5ABF">
      <w:pPr>
        <w:spacing w:before="120" w:after="120" w:line="340" w:lineRule="atLeast"/>
        <w:ind w:firstLine="709"/>
        <w:jc w:val="both"/>
      </w:pPr>
      <w:r w:rsidRPr="005E206B">
        <w:t xml:space="preserve">Bổ sung trách nhiệm của các đơn vị thuộc Bộ và Sở Kế hoạch và Đầu tư trong công tác giám định tư pháp, nhằm nâng cao hiệu quả và rõ vai trò, trách nhiệm của các đơn vị trong công tác giám định tư pháp </w:t>
      </w:r>
      <w:r w:rsidRPr="005E206B">
        <w:rPr>
          <w:spacing w:val="-4"/>
        </w:rPr>
        <w:t>(</w:t>
      </w:r>
      <w:r w:rsidRPr="005E206B">
        <w:rPr>
          <w:i/>
          <w:iCs/>
          <w:spacing w:val="-4"/>
          <w:lang w:val="vi-VN"/>
        </w:rPr>
        <w:t>Thông tư số 07/2014/TT-BKHĐT và Thông tư số 12/2015/TT-BKHĐT không quy định</w:t>
      </w:r>
      <w:r w:rsidRPr="005E206B">
        <w:rPr>
          <w:iCs/>
          <w:spacing w:val="-4"/>
        </w:rPr>
        <w:t>).</w:t>
      </w:r>
    </w:p>
    <w:p w14:paraId="07B6A4EE" w14:textId="77777777" w:rsidR="005C5ABF" w:rsidRPr="005E206B" w:rsidRDefault="005C5ABF" w:rsidP="005C5ABF">
      <w:pPr>
        <w:spacing w:before="120" w:after="120" w:line="340" w:lineRule="atLeast"/>
        <w:ind w:firstLine="709"/>
        <w:jc w:val="both"/>
        <w:rPr>
          <w:bCs/>
          <w:i/>
        </w:rPr>
      </w:pPr>
      <w:r w:rsidRPr="005E206B">
        <w:rPr>
          <w:bCs/>
          <w:i/>
        </w:rPr>
        <w:t>2.11. Quy định chuyển tiếp và hiệu lực thi hành (Điều 15, 16)</w:t>
      </w:r>
    </w:p>
    <w:p w14:paraId="04E1E07B" w14:textId="77777777" w:rsidR="005C5ABF" w:rsidRPr="005E206B" w:rsidRDefault="005C5ABF" w:rsidP="005C5ABF">
      <w:pPr>
        <w:spacing w:before="120" w:after="120" w:line="340" w:lineRule="atLeast"/>
        <w:ind w:firstLine="709"/>
        <w:jc w:val="both"/>
      </w:pPr>
      <w:r w:rsidRPr="005E206B">
        <w:t>- Quy định một số nội dung chuyển tiếp để bảo đảm khi Thông tư này có hiệu lực sẽ không có những vấn đề vướng mắc phát sinh đối với các trường hợp đã/đang được xử lý:</w:t>
      </w:r>
    </w:p>
    <w:p w14:paraId="686D93FD" w14:textId="77777777" w:rsidR="005C5ABF" w:rsidRPr="00EF77F6" w:rsidRDefault="005C5ABF" w:rsidP="005C5ABF">
      <w:pPr>
        <w:spacing w:before="60" w:after="60"/>
        <w:ind w:firstLine="709"/>
        <w:jc w:val="both"/>
        <w:rPr>
          <w:i/>
          <w:spacing w:val="-4"/>
          <w:lang w:val="vi-VN"/>
        </w:rPr>
      </w:pPr>
      <w:r w:rsidRPr="00EF77F6">
        <w:rPr>
          <w:spacing w:val="-4"/>
        </w:rPr>
        <w:t>“</w:t>
      </w:r>
      <w:r w:rsidRPr="00EF77F6">
        <w:rPr>
          <w:i/>
          <w:spacing w:val="-4"/>
          <w:lang w:val="vi-VN"/>
        </w:rPr>
        <w:t xml:space="preserve">1. Giám định viên tư pháp, người giám định tư pháp theo vụ việc, tổ chức giám định tư pháp theo vụ việc đã được bổ nhiệm, công bố trước ngày Thông tư này có hiệu lực, nếu còn đủ tiêu chuẩn, điều kiện theo quy định tại </w:t>
      </w:r>
      <w:r w:rsidRPr="00EF77F6">
        <w:rPr>
          <w:bCs/>
          <w:i/>
          <w:iCs/>
          <w:spacing w:val="-4"/>
          <w:lang w:val="vi-VN"/>
        </w:rPr>
        <w:t xml:space="preserve">Luật Giám định tư </w:t>
      </w:r>
      <w:r w:rsidRPr="00EF77F6">
        <w:rPr>
          <w:bCs/>
          <w:i/>
          <w:iCs/>
          <w:spacing w:val="-4"/>
          <w:lang w:val="vi-VN"/>
        </w:rPr>
        <w:lastRenderedPageBreak/>
        <w:t>pháp và Thông tư này</w:t>
      </w:r>
      <w:r w:rsidRPr="00EF77F6">
        <w:rPr>
          <w:i/>
          <w:spacing w:val="-4"/>
          <w:lang w:val="vi-VN"/>
        </w:rPr>
        <w:t xml:space="preserve"> </w:t>
      </w:r>
      <w:r w:rsidRPr="00EF77F6">
        <w:rPr>
          <w:i/>
          <w:lang w:val="vi-VN" w:eastAsia="zh-CN"/>
        </w:rPr>
        <w:t>thì không phải thực hiện lại việc bổ nhiệm giám định viên tư pháp, công nhận người giám định tư pháp theo vụ việc, tổ chức giám định tư pháp theo vụ việc theo quy định của Thông tư này.</w:t>
      </w:r>
    </w:p>
    <w:p w14:paraId="4ED351C9" w14:textId="77777777" w:rsidR="005C5ABF" w:rsidRPr="00EF77F6" w:rsidRDefault="005C5ABF" w:rsidP="005C5ABF">
      <w:pPr>
        <w:spacing w:before="120" w:after="120" w:line="340" w:lineRule="atLeast"/>
        <w:ind w:firstLine="709"/>
        <w:jc w:val="both"/>
      </w:pPr>
      <w:r w:rsidRPr="00EF77F6">
        <w:rPr>
          <w:i/>
          <w:spacing w:val="-4"/>
          <w:lang w:val="vi-VN"/>
        </w:rPr>
        <w:t xml:space="preserve">2. </w:t>
      </w:r>
      <w:r w:rsidRPr="00EF77F6">
        <w:rPr>
          <w:i/>
          <w:lang w:val="vi-VN" w:eastAsia="zh-CN"/>
        </w:rPr>
        <w:t xml:space="preserve">Các quyết định trưng cầu giám định tư pháp được tiếp nhận và </w:t>
      </w:r>
      <w:r w:rsidRPr="00EF77F6">
        <w:rPr>
          <w:i/>
          <w:lang w:eastAsia="zh-CN"/>
        </w:rPr>
        <w:t>đã ban hành quyết định cử</w:t>
      </w:r>
      <w:r w:rsidRPr="00EF77F6">
        <w:rPr>
          <w:i/>
          <w:lang w:val="vi-VN" w:eastAsia="zh-CN"/>
        </w:rPr>
        <w:t xml:space="preserve"> giám định</w:t>
      </w:r>
      <w:r w:rsidRPr="00EF77F6">
        <w:rPr>
          <w:i/>
          <w:lang w:eastAsia="zh-CN"/>
        </w:rPr>
        <w:t xml:space="preserve"> viên</w:t>
      </w:r>
      <w:r w:rsidRPr="00EF77F6">
        <w:rPr>
          <w:i/>
          <w:lang w:val="vi-VN" w:eastAsia="zh-CN"/>
        </w:rPr>
        <w:t xml:space="preserve"> trước ngày Thông tư này có hiệu lực thi hành mà chưa ban hành kết luận giám định thì tiếp tục thực hiện giám định theo quy định tại quyết định trưng cầu và theo Luật Giám định tư pháp</w:t>
      </w:r>
      <w:r w:rsidRPr="00EF77F6">
        <w:rPr>
          <w:lang w:val="vi-VN" w:eastAsia="zh-CN"/>
        </w:rPr>
        <w:t>.</w:t>
      </w:r>
      <w:r w:rsidRPr="00EF77F6">
        <w:rPr>
          <w:lang w:eastAsia="zh-CN"/>
        </w:rPr>
        <w:t>”</w:t>
      </w:r>
      <w:r w:rsidRPr="00EF77F6">
        <w:t xml:space="preserve">. </w:t>
      </w:r>
    </w:p>
    <w:p w14:paraId="1BF5760C" w14:textId="77777777" w:rsidR="005C5ABF" w:rsidRPr="005E206B" w:rsidRDefault="005C5ABF" w:rsidP="005C5ABF">
      <w:pPr>
        <w:spacing w:before="120" w:after="120" w:line="340" w:lineRule="atLeast"/>
        <w:ind w:firstLine="709"/>
        <w:jc w:val="both"/>
      </w:pPr>
      <w:r w:rsidRPr="005E206B">
        <w:t>- Quy định Thông tư số 07/2014/TT-BKHĐT ngày 24/11/2014 và Thông tư số 12/2015/TT-BKHĐT ngày 27/10/2015 sẽ hết hiệu lực khi Thông tư này có hiệu lực thi hành.</w:t>
      </w:r>
    </w:p>
    <w:p w14:paraId="32BE5EA9" w14:textId="77777777" w:rsidR="005C5ABF" w:rsidRPr="005E206B" w:rsidRDefault="005C5ABF" w:rsidP="005C5ABF">
      <w:pPr>
        <w:spacing w:before="120" w:after="120" w:line="340" w:lineRule="atLeast"/>
        <w:ind w:firstLine="709"/>
        <w:jc w:val="both"/>
        <w:rPr>
          <w:i/>
        </w:rPr>
      </w:pPr>
      <w:r w:rsidRPr="005E206B">
        <w:rPr>
          <w:i/>
        </w:rPr>
        <w:t>(Bản so sánh và thuyết minh về dự thảo gửi kèm theo Tờ trình này)</w:t>
      </w:r>
    </w:p>
    <w:p w14:paraId="4C424AFE" w14:textId="77777777" w:rsidR="005C5ABF" w:rsidRDefault="005C5ABF" w:rsidP="005C5ABF">
      <w:pPr>
        <w:spacing w:before="120" w:after="120" w:line="340" w:lineRule="atLeast"/>
        <w:ind w:firstLine="709"/>
        <w:jc w:val="both"/>
        <w:rPr>
          <w:b/>
        </w:rPr>
      </w:pPr>
      <w:r w:rsidRPr="005E206B">
        <w:rPr>
          <w:b/>
        </w:rPr>
        <w:t>V</w:t>
      </w:r>
      <w:r>
        <w:rPr>
          <w:b/>
        </w:rPr>
        <w:t>I</w:t>
      </w:r>
      <w:r w:rsidRPr="005E206B">
        <w:rPr>
          <w:b/>
        </w:rPr>
        <w:t xml:space="preserve">. ĐIỀU KIỆN </w:t>
      </w:r>
      <w:r>
        <w:rPr>
          <w:b/>
        </w:rPr>
        <w:t>NGUỒN LỰC, ĐIỀU KIỆN</w:t>
      </w:r>
      <w:r w:rsidRPr="005E206B">
        <w:rPr>
          <w:b/>
        </w:rPr>
        <w:t xml:space="preserve"> BẢO ĐẢM THI HÀNH</w:t>
      </w:r>
    </w:p>
    <w:p w14:paraId="2643C4B2" w14:textId="77777777" w:rsidR="005C5ABF" w:rsidRPr="005E206B" w:rsidRDefault="005C5ABF" w:rsidP="005C5ABF">
      <w:pPr>
        <w:spacing w:before="120" w:after="120" w:line="340" w:lineRule="atLeast"/>
        <w:ind w:firstLine="720"/>
        <w:jc w:val="both"/>
      </w:pPr>
      <w:r w:rsidRPr="005E206B">
        <w:rPr>
          <w:spacing w:val="-6"/>
        </w:rPr>
        <w:t xml:space="preserve">Việc bảo đảm thi hành thông tư dựa trên nguồn nhân </w:t>
      </w:r>
      <w:r>
        <w:rPr>
          <w:spacing w:val="-6"/>
        </w:rPr>
        <w:t>lực</w:t>
      </w:r>
      <w:r w:rsidRPr="005E206B">
        <w:rPr>
          <w:spacing w:val="-6"/>
        </w:rPr>
        <w:t xml:space="preserve"> và tài chính sẵn có của các chủ thể có liên quan như cơ quan quản lý nhà nước, tổ chức, cá nhân; không làm phát sinh thêm chi phí, nguồn lực so với văn bản hiện hành. </w:t>
      </w:r>
      <w:r w:rsidRPr="005E206B">
        <w:t>Các nội dung được quy định trong dự thảo không làm phát sinh yêu cầu bắt buộc về tài chính và nhân lực.</w:t>
      </w:r>
    </w:p>
    <w:p w14:paraId="10DDB303" w14:textId="77777777" w:rsidR="005C5ABF" w:rsidRPr="005E206B" w:rsidRDefault="005C5ABF" w:rsidP="005C5ABF">
      <w:pPr>
        <w:spacing w:before="120" w:after="120" w:line="340" w:lineRule="atLeast"/>
        <w:ind w:firstLine="709"/>
        <w:jc w:val="both"/>
        <w:rPr>
          <w:b/>
        </w:rPr>
      </w:pPr>
      <w:r>
        <w:rPr>
          <w:b/>
        </w:rPr>
        <w:t>VII.</w:t>
      </w:r>
      <w:r w:rsidRPr="005E206B">
        <w:rPr>
          <w:b/>
        </w:rPr>
        <w:t xml:space="preserve"> LỒNG GHÉP VẤN ĐỀ BÌNH ĐẲNG GIỚI</w:t>
      </w:r>
      <w:r>
        <w:rPr>
          <w:b/>
        </w:rPr>
        <w:t>,</w:t>
      </w:r>
      <w:r w:rsidRPr="005E206B">
        <w:rPr>
          <w:b/>
        </w:rPr>
        <w:t xml:space="preserve"> QUY ĐỊNH VỀ THỦ TỤC HÀNH CHÍNH</w:t>
      </w:r>
    </w:p>
    <w:p w14:paraId="24294578" w14:textId="77777777" w:rsidR="005C5ABF" w:rsidRPr="005E206B" w:rsidRDefault="005C5ABF" w:rsidP="005C5ABF">
      <w:pPr>
        <w:spacing w:before="120" w:after="120" w:line="340" w:lineRule="atLeast"/>
        <w:ind w:firstLine="720"/>
        <w:jc w:val="both"/>
        <w:rPr>
          <w:b/>
        </w:rPr>
      </w:pPr>
      <w:r>
        <w:rPr>
          <w:b/>
        </w:rPr>
        <w:t>1</w:t>
      </w:r>
      <w:r w:rsidRPr="005E206B">
        <w:rPr>
          <w:b/>
        </w:rPr>
        <w:t>. Về việc lồng ghép vấn đề bình đẳng giới</w:t>
      </w:r>
    </w:p>
    <w:p w14:paraId="5E5ADC17" w14:textId="77777777" w:rsidR="005C5ABF" w:rsidRPr="005E206B" w:rsidRDefault="005C5ABF" w:rsidP="005C5ABF">
      <w:pPr>
        <w:tabs>
          <w:tab w:val="left" w:pos="993"/>
        </w:tabs>
        <w:autoSpaceDE w:val="0"/>
        <w:autoSpaceDN w:val="0"/>
        <w:adjustRightInd w:val="0"/>
        <w:spacing w:before="120" w:after="120" w:line="340" w:lineRule="atLeast"/>
        <w:ind w:firstLine="709"/>
        <w:jc w:val="both"/>
        <w:rPr>
          <w:spacing w:val="-2"/>
        </w:rPr>
      </w:pPr>
      <w:r w:rsidRPr="005E206B">
        <w:rPr>
          <w:spacing w:val="-2"/>
        </w:rPr>
        <w:t xml:space="preserve">Trong quá trình tổ chức, thực hiện xây dựng dự thảo Thông tư, Vụ Pháp chế đã rà soát, bảo đảm đáp ứng các yêu cầu lồng ghép bình đẳng giới theo quy định của Luật Ban hành văn bản quy phạm pháp luật, Luật Bình đẳng giới và các quy định có liên quan tại Nghị định số 70/2008/NĐ-CP ngày 04/6/2008 quy định chi tiết thi hành một số điều của Luật Bình đẳng giới; Nghị định số 48/2009/NĐ-CP ngày 15/7/2009 của Chính phủ về các biện pháp bảo đảm bình đẳng giới và Thông tư số 17/2014/TT-BTP ngày 13/8/2014 của Bộ Tư pháp quy định về lồng ghép vấn đề bình đẳng giới trong xây dựng văn bản quy phạm pháp luật. </w:t>
      </w:r>
    </w:p>
    <w:p w14:paraId="5EBA53D7" w14:textId="77777777" w:rsidR="005C5ABF" w:rsidRPr="005E206B" w:rsidRDefault="005C5ABF" w:rsidP="005C5ABF">
      <w:pPr>
        <w:tabs>
          <w:tab w:val="left" w:pos="993"/>
        </w:tabs>
        <w:autoSpaceDE w:val="0"/>
        <w:autoSpaceDN w:val="0"/>
        <w:adjustRightInd w:val="0"/>
        <w:spacing w:before="120" w:after="120" w:line="340" w:lineRule="atLeast"/>
        <w:ind w:firstLine="709"/>
        <w:jc w:val="both"/>
        <w:rPr>
          <w:spacing w:val="-2"/>
        </w:rPr>
      </w:pPr>
      <w:r w:rsidRPr="005E206B">
        <w:rPr>
          <w:spacing w:val="-2"/>
        </w:rPr>
        <w:t>Theo đó, việc xây dựng các nội dung quy định tại dự thảo Thông tư này không ảnh hưởng đến cơ hội, điều kiện, năng lực thực hiện và thụ hưởng các quyền, lợi ích của mỗi giới do các quy định chung, không phân biệt về giới; không có quy định làm phát sinh sự bất bình đẳng giới giữ nam và nữ.</w:t>
      </w:r>
    </w:p>
    <w:p w14:paraId="2D2F581E" w14:textId="77777777" w:rsidR="005C5ABF" w:rsidRPr="005E206B" w:rsidRDefault="005C5ABF" w:rsidP="005C5ABF">
      <w:pPr>
        <w:tabs>
          <w:tab w:val="left" w:pos="993"/>
        </w:tabs>
        <w:autoSpaceDE w:val="0"/>
        <w:autoSpaceDN w:val="0"/>
        <w:adjustRightInd w:val="0"/>
        <w:spacing w:before="120" w:after="120" w:line="340" w:lineRule="atLeast"/>
        <w:ind w:firstLine="709"/>
        <w:jc w:val="both"/>
        <w:rPr>
          <w:spacing w:val="-2"/>
        </w:rPr>
      </w:pPr>
      <w:r>
        <w:rPr>
          <w:b/>
          <w:spacing w:val="-2"/>
        </w:rPr>
        <w:t>2</w:t>
      </w:r>
      <w:r w:rsidRPr="005E206B">
        <w:rPr>
          <w:b/>
          <w:spacing w:val="-2"/>
        </w:rPr>
        <w:t>. Vấn đề về thủ tục hành chính</w:t>
      </w:r>
    </w:p>
    <w:p w14:paraId="0C5437CA" w14:textId="77777777" w:rsidR="005C5ABF" w:rsidRPr="005E206B" w:rsidRDefault="005C5ABF" w:rsidP="005C5ABF">
      <w:pPr>
        <w:tabs>
          <w:tab w:val="left" w:pos="993"/>
        </w:tabs>
        <w:autoSpaceDE w:val="0"/>
        <w:autoSpaceDN w:val="0"/>
        <w:adjustRightInd w:val="0"/>
        <w:spacing w:before="120" w:after="120" w:line="340" w:lineRule="atLeast"/>
        <w:ind w:firstLine="709"/>
        <w:jc w:val="both"/>
      </w:pPr>
      <w:r w:rsidRPr="005E206B">
        <w:rPr>
          <w:spacing w:val="-2"/>
        </w:rPr>
        <w:t>Dự thảo Thông tư không quy định thủ tục hành chính theo quy định tại Nghị định số 63/2010/NĐ-CP và các Nghị định sửa đổi, bổ sung; chỉ quy định chung đến việc thực hiện công tác giám định tư pháp nội bộ trong cơ quan quản lý nhà nước tại Bộ và địa phương; có thể được xem xét là thủ tục hành chính nội bộ.</w:t>
      </w:r>
    </w:p>
    <w:p w14:paraId="15ECFF67" w14:textId="77777777" w:rsidR="005C5ABF" w:rsidRPr="005E206B" w:rsidRDefault="005C5ABF" w:rsidP="005C5ABF">
      <w:pPr>
        <w:spacing w:before="120" w:after="120" w:line="340" w:lineRule="atLeast"/>
        <w:ind w:firstLine="709"/>
        <w:jc w:val="both"/>
        <w:rPr>
          <w:b/>
        </w:rPr>
      </w:pPr>
      <w:r w:rsidRPr="005E206B">
        <w:rPr>
          <w:b/>
        </w:rPr>
        <w:t>V</w:t>
      </w:r>
      <w:r>
        <w:rPr>
          <w:b/>
        </w:rPr>
        <w:t>I</w:t>
      </w:r>
      <w:r w:rsidRPr="005E206B">
        <w:rPr>
          <w:b/>
        </w:rPr>
        <w:t>I. NHỮNG VẤN ĐỀ XIN Ý KIẾN</w:t>
      </w:r>
    </w:p>
    <w:p w14:paraId="400EBCAE" w14:textId="77777777" w:rsidR="005C5ABF" w:rsidRPr="005E206B" w:rsidRDefault="005C5ABF" w:rsidP="005C5ABF">
      <w:pPr>
        <w:spacing w:before="120" w:after="120" w:line="340" w:lineRule="atLeast"/>
        <w:ind w:firstLine="709"/>
        <w:jc w:val="both"/>
        <w:rPr>
          <w:i/>
        </w:rPr>
      </w:pPr>
      <w:r w:rsidRPr="005E206B">
        <w:rPr>
          <w:i/>
        </w:rPr>
        <w:t xml:space="preserve">(Sẽ nghiên cứu bổ sung sau </w:t>
      </w:r>
      <w:r>
        <w:rPr>
          <w:i/>
        </w:rPr>
        <w:t>– nếu có</w:t>
      </w:r>
      <w:r w:rsidRPr="005E206B">
        <w:rPr>
          <w:i/>
        </w:rPr>
        <w:t>)</w:t>
      </w:r>
    </w:p>
    <w:p w14:paraId="106923C6" w14:textId="77777777" w:rsidR="005C5ABF" w:rsidRPr="005E206B" w:rsidRDefault="005C5ABF" w:rsidP="005C5ABF">
      <w:pPr>
        <w:tabs>
          <w:tab w:val="left" w:pos="567"/>
        </w:tabs>
        <w:spacing w:before="120" w:after="120" w:line="340" w:lineRule="atLeast"/>
        <w:ind w:firstLine="709"/>
        <w:jc w:val="both"/>
        <w:rPr>
          <w:lang w:val="pt-BR"/>
        </w:rPr>
      </w:pPr>
      <w:r w:rsidRPr="005E206B">
        <w:rPr>
          <w:lang w:val="pt-BR"/>
        </w:rPr>
        <w:lastRenderedPageBreak/>
        <w:t xml:space="preserve">Trên đây là Tờ trình về dự thảo </w:t>
      </w:r>
      <w:r w:rsidRPr="005E206B">
        <w:rPr>
          <w:lang w:val="vi-VN"/>
        </w:rPr>
        <w:t>Thông tư quy định một số nội dung về hoạt động giám định tư pháp trong lĩnh vực kế hoạch và đầu tư</w:t>
      </w:r>
      <w:r w:rsidRPr="005E206B">
        <w:rPr>
          <w:lang w:val="pt-BR"/>
        </w:rPr>
        <w:t>, Vụ Pháp chế kính trình Bộ trưởng xem xét, quyết định./.</w:t>
      </w:r>
    </w:p>
    <w:p w14:paraId="2C8E1E20" w14:textId="77777777" w:rsidR="005C5ABF" w:rsidRPr="00EA52B9" w:rsidRDefault="005C5ABF" w:rsidP="005C5ABF">
      <w:pPr>
        <w:spacing w:before="220" w:line="276" w:lineRule="auto"/>
        <w:ind w:firstLine="709"/>
        <w:jc w:val="both"/>
        <w:rPr>
          <w:lang w:val="pt-BR"/>
        </w:rPr>
      </w:pPr>
    </w:p>
    <w:tbl>
      <w:tblPr>
        <w:tblW w:w="9351" w:type="dxa"/>
        <w:tblLayout w:type="fixed"/>
        <w:tblLook w:val="04A0" w:firstRow="1" w:lastRow="0" w:firstColumn="1" w:lastColumn="0" w:noHBand="0" w:noVBand="1"/>
      </w:tblPr>
      <w:tblGrid>
        <w:gridCol w:w="3520"/>
        <w:gridCol w:w="5831"/>
      </w:tblGrid>
      <w:tr w:rsidR="005C5ABF" w:rsidRPr="00EA52B9" w14:paraId="26B455E4" w14:textId="77777777" w:rsidTr="00123ED2">
        <w:trPr>
          <w:trHeight w:val="1062"/>
        </w:trPr>
        <w:tc>
          <w:tcPr>
            <w:tcW w:w="3520" w:type="dxa"/>
            <w:hideMark/>
          </w:tcPr>
          <w:p w14:paraId="63267821" w14:textId="77777777" w:rsidR="005C5ABF" w:rsidRPr="00EA52B9" w:rsidRDefault="005C5ABF" w:rsidP="00123ED2">
            <w:pPr>
              <w:spacing w:line="276" w:lineRule="auto"/>
              <w:rPr>
                <w:b/>
                <w:i/>
                <w:sz w:val="24"/>
                <w:szCs w:val="24"/>
                <w:lang w:val="pt-BR"/>
              </w:rPr>
            </w:pPr>
            <w:r w:rsidRPr="00EA52B9">
              <w:rPr>
                <w:b/>
                <w:bCs/>
                <w:i/>
                <w:sz w:val="24"/>
                <w:szCs w:val="24"/>
                <w:lang w:val="pt-BR"/>
              </w:rPr>
              <w:t>Nơi nhận</w:t>
            </w:r>
            <w:r w:rsidRPr="00EA52B9">
              <w:rPr>
                <w:b/>
                <w:i/>
                <w:sz w:val="24"/>
                <w:szCs w:val="24"/>
                <w:lang w:val="pt-BR"/>
              </w:rPr>
              <w:t>:</w:t>
            </w:r>
          </w:p>
          <w:p w14:paraId="55DB8744" w14:textId="77777777" w:rsidR="005C5ABF" w:rsidRPr="00EA52B9" w:rsidRDefault="005C5ABF" w:rsidP="00123ED2">
            <w:pPr>
              <w:spacing w:line="276" w:lineRule="auto"/>
              <w:rPr>
                <w:sz w:val="22"/>
                <w:szCs w:val="22"/>
                <w:lang w:val="pt-BR"/>
              </w:rPr>
            </w:pPr>
            <w:r w:rsidRPr="00EA52B9">
              <w:rPr>
                <w:sz w:val="22"/>
                <w:szCs w:val="22"/>
                <w:lang w:val="pt-BR"/>
              </w:rPr>
              <w:t>- Như trên;</w:t>
            </w:r>
          </w:p>
          <w:p w14:paraId="61E13084" w14:textId="77777777" w:rsidR="005C5ABF" w:rsidRPr="00EA52B9" w:rsidRDefault="005C5ABF" w:rsidP="00123ED2">
            <w:pPr>
              <w:spacing w:line="276" w:lineRule="auto"/>
              <w:rPr>
                <w:sz w:val="25"/>
                <w:szCs w:val="25"/>
                <w:lang w:val="nl-NL"/>
              </w:rPr>
            </w:pPr>
            <w:r w:rsidRPr="00EA52B9">
              <w:rPr>
                <w:sz w:val="22"/>
                <w:szCs w:val="22"/>
                <w:lang w:val="nl-NL"/>
              </w:rPr>
              <w:t>- Lưu: PC (</w:t>
            </w:r>
            <w:r>
              <w:rPr>
                <w:sz w:val="22"/>
                <w:szCs w:val="22"/>
                <w:lang w:val="nl-NL"/>
              </w:rPr>
              <w:t>Th</w:t>
            </w:r>
            <w:r w:rsidRPr="00EA52B9">
              <w:rPr>
                <w:sz w:val="22"/>
                <w:szCs w:val="22"/>
                <w:lang w:val="nl-NL"/>
              </w:rPr>
              <w:t>).</w:t>
            </w:r>
          </w:p>
        </w:tc>
        <w:tc>
          <w:tcPr>
            <w:tcW w:w="5831" w:type="dxa"/>
          </w:tcPr>
          <w:p w14:paraId="170F189D" w14:textId="77777777" w:rsidR="005C5ABF" w:rsidRPr="005E206B" w:rsidRDefault="005C5ABF" w:rsidP="00123ED2">
            <w:pPr>
              <w:pStyle w:val="u2"/>
              <w:adjustRightInd w:val="0"/>
              <w:spacing w:after="0" w:line="276" w:lineRule="auto"/>
              <w:jc w:val="center"/>
              <w:rPr>
                <w:rFonts w:ascii="Times New Roman" w:hAnsi="Times New Roman" w:cs="Times New Roman"/>
                <w:spacing w:val="-6"/>
                <w:lang w:val="nl-NL"/>
              </w:rPr>
            </w:pPr>
            <w:r>
              <w:rPr>
                <w:rFonts w:ascii="Times New Roman" w:hAnsi="Times New Roman" w:cs="Times New Roman"/>
                <w:lang w:val="nl-NL"/>
              </w:rPr>
              <w:t xml:space="preserve">     </w:t>
            </w:r>
            <w:r w:rsidRPr="005E206B">
              <w:rPr>
                <w:rFonts w:ascii="Times New Roman" w:hAnsi="Times New Roman" w:cs="Times New Roman"/>
                <w:lang w:val="nl-NL"/>
              </w:rPr>
              <w:t>VỤ TRƯỞNG</w:t>
            </w:r>
          </w:p>
          <w:p w14:paraId="392FFEA6" w14:textId="77777777" w:rsidR="005C5ABF" w:rsidRPr="005E206B" w:rsidRDefault="005C5ABF" w:rsidP="00123ED2">
            <w:pPr>
              <w:pStyle w:val="u2"/>
              <w:adjustRightInd w:val="0"/>
              <w:spacing w:after="0" w:line="276" w:lineRule="auto"/>
              <w:jc w:val="center"/>
              <w:rPr>
                <w:rFonts w:ascii="Times New Roman" w:hAnsi="Times New Roman" w:cs="Times New Roman"/>
                <w:spacing w:val="-6"/>
                <w:lang w:val="nl-NL"/>
              </w:rPr>
            </w:pPr>
          </w:p>
          <w:p w14:paraId="01490851" w14:textId="77777777" w:rsidR="005C5ABF" w:rsidRPr="005E206B" w:rsidRDefault="005C5ABF" w:rsidP="00123ED2">
            <w:pPr>
              <w:pStyle w:val="u2"/>
              <w:adjustRightInd w:val="0"/>
              <w:spacing w:after="0" w:line="276" w:lineRule="auto"/>
              <w:jc w:val="center"/>
              <w:rPr>
                <w:rFonts w:ascii="Times New Roman" w:hAnsi="Times New Roman" w:cs="Times New Roman"/>
                <w:spacing w:val="-6"/>
                <w:lang w:val="nl-NL"/>
              </w:rPr>
            </w:pPr>
          </w:p>
          <w:p w14:paraId="69D0AF04" w14:textId="77777777" w:rsidR="005C5ABF" w:rsidRPr="005E206B" w:rsidRDefault="005C5ABF" w:rsidP="00123ED2">
            <w:pPr>
              <w:pStyle w:val="u2"/>
              <w:adjustRightInd w:val="0"/>
              <w:spacing w:after="0" w:line="276" w:lineRule="auto"/>
              <w:jc w:val="center"/>
              <w:rPr>
                <w:rFonts w:ascii="Times New Roman" w:hAnsi="Times New Roman" w:cs="Times New Roman"/>
                <w:spacing w:val="-6"/>
                <w:lang w:val="nl-NL"/>
              </w:rPr>
            </w:pPr>
          </w:p>
          <w:p w14:paraId="05D71103" w14:textId="77777777" w:rsidR="005C5ABF" w:rsidRPr="00EA52B9" w:rsidRDefault="005C5ABF" w:rsidP="00123ED2">
            <w:pPr>
              <w:pStyle w:val="u2"/>
              <w:adjustRightInd w:val="0"/>
              <w:spacing w:after="0" w:line="276" w:lineRule="auto"/>
              <w:jc w:val="center"/>
              <w:rPr>
                <w:rFonts w:ascii="Times New Roman" w:hAnsi="Times New Roman" w:cs="Times New Roman"/>
                <w:lang w:val="nl-NL"/>
              </w:rPr>
            </w:pPr>
            <w:r w:rsidRPr="005E206B">
              <w:rPr>
                <w:rFonts w:ascii="Times New Roman" w:hAnsi="Times New Roman" w:cs="Times New Roman"/>
                <w:spacing w:val="-6"/>
                <w:lang w:val="nl-NL"/>
              </w:rPr>
              <w:t xml:space="preserve">        Hoàng Mạnh Phương</w:t>
            </w:r>
          </w:p>
        </w:tc>
      </w:tr>
    </w:tbl>
    <w:p w14:paraId="6F4FCF56" w14:textId="77777777" w:rsidR="005C5ABF" w:rsidRPr="00EA52B9" w:rsidRDefault="005C5ABF" w:rsidP="005C5ABF">
      <w:pPr>
        <w:widowControl w:val="0"/>
        <w:tabs>
          <w:tab w:val="left" w:pos="-2160"/>
        </w:tabs>
        <w:spacing w:before="120" w:after="120"/>
        <w:jc w:val="both"/>
        <w:rPr>
          <w:sz w:val="2"/>
          <w:szCs w:val="24"/>
          <w:lang w:val="it-IT"/>
        </w:rPr>
      </w:pPr>
    </w:p>
    <w:p w14:paraId="61A9535D" w14:textId="77777777" w:rsidR="00BA19B7" w:rsidRDefault="00BA19B7"/>
    <w:sectPr w:rsidR="00BA19B7" w:rsidSect="00113F9E">
      <w:headerReference w:type="default" r:id="rId7"/>
      <w:pgSz w:w="11906" w:h="16838"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D44A" w14:textId="77777777" w:rsidR="009A7462" w:rsidRDefault="009A7462" w:rsidP="005C5ABF">
      <w:r>
        <w:separator/>
      </w:r>
    </w:p>
  </w:endnote>
  <w:endnote w:type="continuationSeparator" w:id="0">
    <w:p w14:paraId="1B9598D3" w14:textId="77777777" w:rsidR="009A7462" w:rsidRDefault="009A7462" w:rsidP="005C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5C5A" w14:textId="77777777" w:rsidR="009A7462" w:rsidRDefault="009A7462" w:rsidP="005C5ABF">
      <w:r>
        <w:separator/>
      </w:r>
    </w:p>
  </w:footnote>
  <w:footnote w:type="continuationSeparator" w:id="0">
    <w:p w14:paraId="3562254A" w14:textId="77777777" w:rsidR="009A7462" w:rsidRDefault="009A7462" w:rsidP="005C5ABF">
      <w:r>
        <w:continuationSeparator/>
      </w:r>
    </w:p>
  </w:footnote>
  <w:footnote w:id="1">
    <w:p w14:paraId="63D20955" w14:textId="77777777" w:rsidR="005C5ABF" w:rsidRPr="0078011F" w:rsidRDefault="005C5ABF" w:rsidP="005C5ABF">
      <w:pPr>
        <w:pStyle w:val="VnbanCcchu"/>
      </w:pPr>
      <w:r w:rsidRPr="0078011F">
        <w:rPr>
          <w:rStyle w:val="ThamchiuCcchu"/>
          <w:sz w:val="24"/>
        </w:rPr>
        <w:footnoteRef/>
      </w:r>
      <w:r w:rsidRPr="0078011F">
        <w:rPr>
          <w:sz w:val="24"/>
        </w:rPr>
        <w:t xml:space="preserve"> </w:t>
      </w:r>
      <w:r w:rsidRPr="0078011F">
        <w:rPr>
          <w:sz w:val="24"/>
          <w:lang w:val="it-IT"/>
        </w:rPr>
        <w:t>Báo cáo số 09-BC/ĐKT7 ngày 29/8/2022; công văn số 1600-CV/BNCTW ngày 25/01/2022, Ban Nội chính Trung ương.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DBB9" w14:textId="77777777" w:rsidR="00000000" w:rsidRPr="00230697" w:rsidRDefault="00000000">
    <w:pPr>
      <w:pStyle w:val="utrang"/>
      <w:jc w:val="center"/>
      <w:rPr>
        <w:sz w:val="24"/>
      </w:rPr>
    </w:pPr>
    <w:r w:rsidRPr="00230697">
      <w:rPr>
        <w:sz w:val="24"/>
      </w:rPr>
      <w:fldChar w:fldCharType="begin"/>
    </w:r>
    <w:r w:rsidRPr="00230697">
      <w:rPr>
        <w:sz w:val="24"/>
      </w:rPr>
      <w:instrText>PAGE   \* MERGEFORMAT</w:instrText>
    </w:r>
    <w:r w:rsidRPr="00230697">
      <w:rPr>
        <w:sz w:val="24"/>
      </w:rPr>
      <w:fldChar w:fldCharType="separate"/>
    </w:r>
    <w:r w:rsidRPr="0078011F">
      <w:rPr>
        <w:noProof/>
        <w:sz w:val="24"/>
        <w:lang w:val="vi-VN"/>
      </w:rPr>
      <w:t>2</w:t>
    </w:r>
    <w:r w:rsidRPr="00230697">
      <w:rPr>
        <w:sz w:val="24"/>
      </w:rPr>
      <w:fldChar w:fldCharType="end"/>
    </w:r>
  </w:p>
  <w:p w14:paraId="6745F383" w14:textId="77777777" w:rsidR="00000000" w:rsidRPr="00230697" w:rsidRDefault="00000000">
    <w:pPr>
      <w:pStyle w:val="utrang"/>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130FA"/>
    <w:multiLevelType w:val="hybridMultilevel"/>
    <w:tmpl w:val="8272B8FE"/>
    <w:lvl w:ilvl="0" w:tplc="EAB494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C785B3E"/>
    <w:multiLevelType w:val="hybridMultilevel"/>
    <w:tmpl w:val="C906860E"/>
    <w:lvl w:ilvl="0" w:tplc="20D4E026">
      <w:start w:val="1"/>
      <w:numFmt w:val="low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64700204">
    <w:abstractNumId w:val="1"/>
  </w:num>
  <w:num w:numId="2" w16cid:durableId="121361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BF"/>
    <w:rsid w:val="004B7829"/>
    <w:rsid w:val="005C5ABF"/>
    <w:rsid w:val="009A7462"/>
    <w:rsid w:val="00BA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E034"/>
  <w15:chartTrackingRefBased/>
  <w15:docId w15:val="{5D555CEB-7874-450A-802C-EF0B2C01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C5ABF"/>
    <w:pPr>
      <w:spacing w:after="0" w:line="240" w:lineRule="auto"/>
    </w:pPr>
    <w:rPr>
      <w:rFonts w:ascii="Times New Roman" w:eastAsia="Times New Roman" w:hAnsi="Times New Roman" w:cs="Times New Roman"/>
      <w:kern w:val="0"/>
      <w:sz w:val="28"/>
      <w:szCs w:val="28"/>
      <w14:ligatures w14:val="none"/>
    </w:rPr>
  </w:style>
  <w:style w:type="paragraph" w:styleId="u2">
    <w:name w:val="heading 2"/>
    <w:basedOn w:val="Binhthng"/>
    <w:next w:val="Binhthng"/>
    <w:link w:val="u2Char"/>
    <w:unhideWhenUsed/>
    <w:qFormat/>
    <w:rsid w:val="005C5ABF"/>
    <w:pPr>
      <w:keepNext/>
      <w:autoSpaceDE w:val="0"/>
      <w:autoSpaceDN w:val="0"/>
      <w:spacing w:after="120"/>
      <w:jc w:val="both"/>
      <w:outlineLvl w:val="1"/>
    </w:pPr>
    <w:rPr>
      <w:rFonts w:ascii=".VnTime" w:hAnsi=".VnTime" w:cs=".VnTime"/>
      <w:b/>
      <w:bCs/>
    </w:rPr>
  </w:style>
  <w:style w:type="paragraph" w:styleId="u4">
    <w:name w:val="heading 4"/>
    <w:basedOn w:val="Binhthng"/>
    <w:next w:val="Binhthng"/>
    <w:link w:val="u4Char"/>
    <w:unhideWhenUsed/>
    <w:qFormat/>
    <w:rsid w:val="005C5ABF"/>
    <w:pPr>
      <w:keepNext/>
      <w:adjustRightInd w:val="0"/>
      <w:snapToGrid w:val="0"/>
      <w:spacing w:before="120" w:line="264" w:lineRule="auto"/>
      <w:jc w:val="right"/>
      <w:outlineLvl w:val="3"/>
    </w:pPr>
    <w:rPr>
      <w:rFonts w:eastAsia="SimSun"/>
      <w:bCs/>
      <w:i/>
      <w:iCs/>
      <w:szCs w:val="24"/>
      <w:lang w:val="nl-NL" w:eastAsia="zh-CN"/>
    </w:rPr>
  </w:style>
  <w:style w:type="paragraph" w:styleId="u5">
    <w:name w:val="heading 5"/>
    <w:basedOn w:val="Binhthng"/>
    <w:next w:val="Binhthng"/>
    <w:link w:val="u5Char"/>
    <w:unhideWhenUsed/>
    <w:qFormat/>
    <w:rsid w:val="005C5ABF"/>
    <w:pPr>
      <w:keepNext/>
      <w:autoSpaceDE w:val="0"/>
      <w:autoSpaceDN w:val="0"/>
      <w:jc w:val="center"/>
      <w:outlineLvl w:val="4"/>
    </w:pPr>
    <w:rPr>
      <w:rFonts w:ascii=".VnTime" w:hAnsi=".VnTime" w:cs=".VnTime"/>
      <w:lang w:val="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5C5ABF"/>
    <w:rPr>
      <w:rFonts w:ascii=".VnTime" w:eastAsia="Times New Roman" w:hAnsi=".VnTime" w:cs=".VnTime"/>
      <w:b/>
      <w:bCs/>
      <w:kern w:val="0"/>
      <w:sz w:val="28"/>
      <w:szCs w:val="28"/>
      <w14:ligatures w14:val="none"/>
    </w:rPr>
  </w:style>
  <w:style w:type="character" w:customStyle="1" w:styleId="u4Char">
    <w:name w:val="Đầu đề 4 Char"/>
    <w:basedOn w:val="Phngmcinhcuaoanvn"/>
    <w:link w:val="u4"/>
    <w:rsid w:val="005C5ABF"/>
    <w:rPr>
      <w:rFonts w:ascii="Times New Roman" w:eastAsia="SimSun" w:hAnsi="Times New Roman" w:cs="Times New Roman"/>
      <w:bCs/>
      <w:i/>
      <w:iCs/>
      <w:kern w:val="0"/>
      <w:sz w:val="28"/>
      <w:szCs w:val="24"/>
      <w:lang w:val="nl-NL" w:eastAsia="zh-CN"/>
      <w14:ligatures w14:val="none"/>
    </w:rPr>
  </w:style>
  <w:style w:type="character" w:customStyle="1" w:styleId="u5Char">
    <w:name w:val="Đầu đề 5 Char"/>
    <w:basedOn w:val="Phngmcinhcuaoanvn"/>
    <w:link w:val="u5"/>
    <w:rsid w:val="005C5ABF"/>
    <w:rPr>
      <w:rFonts w:ascii=".VnTime" w:eastAsia="Times New Roman" w:hAnsi=".VnTime" w:cs=".VnTime"/>
      <w:kern w:val="0"/>
      <w:sz w:val="28"/>
      <w:szCs w:val="28"/>
      <w:lang w:val="en-GB"/>
      <w14:ligatures w14:val="none"/>
    </w:rPr>
  </w:style>
  <w:style w:type="paragraph" w:styleId="ThnVnban">
    <w:name w:val="Body Text"/>
    <w:basedOn w:val="Binhthng"/>
    <w:link w:val="ThnVnbanChar"/>
    <w:semiHidden/>
    <w:unhideWhenUsed/>
    <w:rsid w:val="005C5ABF"/>
    <w:pPr>
      <w:keepNext/>
      <w:spacing w:before="120"/>
      <w:jc w:val="both"/>
    </w:pPr>
    <w:rPr>
      <w:rFonts w:ascii=".VnTime" w:hAnsi=".VnTime"/>
    </w:rPr>
  </w:style>
  <w:style w:type="character" w:customStyle="1" w:styleId="ThnVnbanChar">
    <w:name w:val="Thân Văn bản Char"/>
    <w:basedOn w:val="Phngmcinhcuaoanvn"/>
    <w:link w:val="ThnVnban"/>
    <w:semiHidden/>
    <w:rsid w:val="005C5ABF"/>
    <w:rPr>
      <w:rFonts w:ascii=".VnTime" w:eastAsia="Times New Roman" w:hAnsi=".VnTime" w:cs="Times New Roman"/>
      <w:kern w:val="0"/>
      <w:sz w:val="28"/>
      <w:szCs w:val="28"/>
      <w14:ligatures w14:val="none"/>
    </w:rPr>
  </w:style>
  <w:style w:type="paragraph" w:styleId="utrang">
    <w:name w:val="header"/>
    <w:basedOn w:val="Binhthng"/>
    <w:link w:val="utrangChar"/>
    <w:uiPriority w:val="99"/>
    <w:unhideWhenUsed/>
    <w:rsid w:val="005C5ABF"/>
    <w:pPr>
      <w:tabs>
        <w:tab w:val="center" w:pos="4680"/>
        <w:tab w:val="right" w:pos="9360"/>
      </w:tabs>
    </w:pPr>
  </w:style>
  <w:style w:type="character" w:customStyle="1" w:styleId="utrangChar">
    <w:name w:val="Đầu trang Char"/>
    <w:basedOn w:val="Phngmcinhcuaoanvn"/>
    <w:link w:val="utrang"/>
    <w:uiPriority w:val="99"/>
    <w:rsid w:val="005C5ABF"/>
    <w:rPr>
      <w:rFonts w:ascii="Times New Roman" w:eastAsia="Times New Roman" w:hAnsi="Times New Roman" w:cs="Times New Roman"/>
      <w:kern w:val="0"/>
      <w:sz w:val="28"/>
      <w:szCs w:val="28"/>
      <w14:ligatures w14:val="none"/>
    </w:rPr>
  </w:style>
  <w:style w:type="paragraph" w:styleId="oancuaDanhsach">
    <w:name w:val="List Paragraph"/>
    <w:basedOn w:val="Binhthng"/>
    <w:uiPriority w:val="34"/>
    <w:qFormat/>
    <w:rsid w:val="005C5ABF"/>
    <w:pPr>
      <w:ind w:left="720"/>
      <w:contextualSpacing/>
    </w:pPr>
  </w:style>
  <w:style w:type="paragraph" w:styleId="VnbanCcchu">
    <w:name w:val="footnote text"/>
    <w:basedOn w:val="Binhthng"/>
    <w:link w:val="VnbanCcchuChar"/>
    <w:uiPriority w:val="99"/>
    <w:semiHidden/>
    <w:unhideWhenUsed/>
    <w:rsid w:val="005C5ABF"/>
    <w:rPr>
      <w:sz w:val="20"/>
      <w:szCs w:val="20"/>
    </w:rPr>
  </w:style>
  <w:style w:type="character" w:customStyle="1" w:styleId="VnbanCcchuChar">
    <w:name w:val="Văn bản Cước chú Char"/>
    <w:basedOn w:val="Phngmcinhcuaoanvn"/>
    <w:link w:val="VnbanCcchu"/>
    <w:uiPriority w:val="99"/>
    <w:semiHidden/>
    <w:rsid w:val="005C5ABF"/>
    <w:rPr>
      <w:rFonts w:ascii="Times New Roman" w:eastAsia="Times New Roman" w:hAnsi="Times New Roman" w:cs="Times New Roman"/>
      <w:kern w:val="0"/>
      <w:sz w:val="20"/>
      <w:szCs w:val="20"/>
      <w14:ligatures w14:val="none"/>
    </w:rPr>
  </w:style>
  <w:style w:type="character" w:styleId="ThamchiuCcchu">
    <w:name w:val="footnote reference"/>
    <w:uiPriority w:val="99"/>
    <w:semiHidden/>
    <w:unhideWhenUsed/>
    <w:rsid w:val="005C5A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3264</Words>
  <Characters>18606</Characters>
  <Application>Microsoft Office Word</Application>
  <DocSecurity>0</DocSecurity>
  <Lines>155</Lines>
  <Paragraphs>43</Paragraphs>
  <ScaleCrop>false</ScaleCrop>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2024-10-31T07:14:00Z</dcterms:created>
  <dcterms:modified xsi:type="dcterms:W3CDTF">2024-10-31T07:15:00Z</dcterms:modified>
</cp:coreProperties>
</file>